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16979" w:rsidP="00A16979" w:rsidRDefault="007C4D31" w14:paraId="64FBB04A" w14:textId="3989E12C">
      <w:pPr>
        <w:pStyle w:val="Header"/>
        <w:tabs>
          <w:tab w:val="clear" w:pos="4320"/>
          <w:tab w:val="clear" w:pos="8640"/>
        </w:tabs>
        <w:rPr>
          <w:rFonts w:cs="Times New Roman"/>
          <w:b/>
        </w:rPr>
      </w:pPr>
      <w:r>
        <w:rPr>
          <w:rFonts w:cs="Times New Roman"/>
          <w:b/>
        </w:rPr>
        <w:t xml:space="preserve">Section 1: </w:t>
      </w:r>
      <w:r w:rsidRPr="003D671E" w:rsidR="00A16979">
        <w:rPr>
          <w:rFonts w:cs="Times New Roman"/>
          <w:b/>
        </w:rPr>
        <w:t>Child Population Projections</w:t>
      </w:r>
    </w:p>
    <w:p w:rsidR="00A16979" w:rsidP="00A16979" w:rsidRDefault="00A16979" w14:paraId="26A6EB97" w14:textId="77777777">
      <w:pPr>
        <w:pStyle w:val="Header"/>
        <w:tabs>
          <w:tab w:val="clear" w:pos="4320"/>
          <w:tab w:val="clear" w:pos="8640"/>
        </w:tabs>
        <w:rPr>
          <w:rFonts w:cs="Times New Roman"/>
          <w:b/>
        </w:rPr>
      </w:pPr>
    </w:p>
    <w:p w:rsidRPr="00B7014C" w:rsidR="003132ED" w:rsidP="00A16979" w:rsidRDefault="003132ED" w14:paraId="18CF0AFD" w14:textId="44524861">
      <w:pPr>
        <w:rPr>
          <w:b/>
          <w:bCs/>
        </w:rPr>
      </w:pPr>
      <w:r w:rsidRPr="00B7014C">
        <w:rPr>
          <w:b/>
          <w:bCs/>
        </w:rPr>
        <w:t>ONS Mid-Year Estimates</w:t>
      </w:r>
      <w:r w:rsidRPr="00B7014C" w:rsidR="00FC2A9D">
        <w:rPr>
          <w:b/>
          <w:bCs/>
        </w:rPr>
        <w:t xml:space="preserve"> (MYE)</w:t>
      </w:r>
    </w:p>
    <w:p w:rsidRPr="00B7014C" w:rsidR="003132ED" w:rsidP="00A16979" w:rsidRDefault="00FC2A9D" w14:paraId="26C4412E" w14:textId="7E868101">
      <w:pPr>
        <w:rPr>
          <w:lang w:val="en"/>
        </w:rPr>
      </w:pPr>
      <w:r w:rsidRPr="00B7014C">
        <w:rPr>
          <w:lang w:val="en"/>
        </w:rPr>
        <w:t>Mid-year population estimates relate to the usually resident population. They account for long-term international migrants (people who change their country of usual residence for a period of 12 months or more) but do not account for short-term migrants (people who come to or leave the country for a period of less than 12 months).</w:t>
      </w:r>
    </w:p>
    <w:p w:rsidRPr="00B7014C" w:rsidR="00FC2A9D" w:rsidP="00A16979" w:rsidRDefault="00FC2A9D" w14:paraId="0A5C22CE" w14:textId="77777777">
      <w:pPr>
        <w:rPr>
          <w:lang w:val="en"/>
        </w:rPr>
      </w:pPr>
    </w:p>
    <w:p w:rsidRPr="00B7014C" w:rsidR="00FC2A9D" w:rsidP="00A16979" w:rsidRDefault="00FC2A9D" w14:paraId="0BAFDCA8" w14:textId="6AFC1DB1">
      <w:pPr>
        <w:rPr>
          <w:b/>
          <w:bCs/>
        </w:rPr>
      </w:pPr>
      <w:r w:rsidRPr="00B7014C">
        <w:rPr>
          <w:b/>
          <w:lang w:val="en"/>
        </w:rPr>
        <w:t>Harrow’s 20</w:t>
      </w:r>
      <w:r w:rsidRPr="00B7014C" w:rsidR="0065779B">
        <w:rPr>
          <w:b/>
          <w:lang w:val="en"/>
        </w:rPr>
        <w:t>20</w:t>
      </w:r>
      <w:r w:rsidRPr="00B7014C">
        <w:rPr>
          <w:b/>
          <w:lang w:val="en"/>
        </w:rPr>
        <w:t>-MYE</w:t>
      </w:r>
    </w:p>
    <w:p w:rsidRPr="00B7014C" w:rsidR="003132ED" w:rsidP="00A16979" w:rsidRDefault="0026140F" w14:paraId="59E54B73" w14:textId="133E9543">
      <w:pPr>
        <w:rPr>
          <w:bCs/>
        </w:rPr>
      </w:pPr>
      <w:r w:rsidRPr="00B7014C">
        <w:rPr>
          <w:bCs/>
        </w:rPr>
        <w:t>According to the 20</w:t>
      </w:r>
      <w:r w:rsidRPr="00B7014C" w:rsidR="0065779B">
        <w:rPr>
          <w:bCs/>
        </w:rPr>
        <w:t>20</w:t>
      </w:r>
      <w:r w:rsidRPr="00B7014C">
        <w:rPr>
          <w:bCs/>
        </w:rPr>
        <w:t>-MYE Harrow’s school age children are estimated to have increased from 201</w:t>
      </w:r>
      <w:r w:rsidRPr="00B7014C" w:rsidR="00095EF0">
        <w:rPr>
          <w:bCs/>
        </w:rPr>
        <w:t>9</w:t>
      </w:r>
      <w:r w:rsidRPr="00B7014C">
        <w:rPr>
          <w:bCs/>
        </w:rPr>
        <w:t xml:space="preserve"> to 20</w:t>
      </w:r>
      <w:r w:rsidRPr="00B7014C" w:rsidR="00095EF0">
        <w:rPr>
          <w:bCs/>
        </w:rPr>
        <w:t>20</w:t>
      </w:r>
      <w:r w:rsidRPr="00B7014C">
        <w:rPr>
          <w:bCs/>
        </w:rPr>
        <w:t xml:space="preserve">, </w:t>
      </w:r>
      <w:r w:rsidRPr="00B7014C" w:rsidR="002B117A">
        <w:rPr>
          <w:bCs/>
        </w:rPr>
        <w:t>whilst the pre-school and post-school numbers have decreased, as can be seen in the table below.</w:t>
      </w:r>
    </w:p>
    <w:p w:rsidRPr="00B7014C" w:rsidR="008E47B1" w:rsidP="00A16979" w:rsidRDefault="008E47B1" w14:paraId="51CADF89" w14:textId="77777777">
      <w:pPr>
        <w:rPr>
          <w:bCs/>
        </w:rPr>
      </w:pPr>
    </w:p>
    <w:tbl>
      <w:tblPr>
        <w:tblW w:w="6421" w:type="dxa"/>
        <w:tblInd w:w="93" w:type="dxa"/>
        <w:tblLook w:val="04A0" w:firstRow="1" w:lastRow="0" w:firstColumn="1" w:lastColumn="0" w:noHBand="0" w:noVBand="1"/>
      </w:tblPr>
      <w:tblGrid>
        <w:gridCol w:w="1080"/>
        <w:gridCol w:w="1317"/>
        <w:gridCol w:w="1329"/>
        <w:gridCol w:w="1329"/>
        <w:gridCol w:w="1366"/>
      </w:tblGrid>
      <w:tr w:rsidRPr="00B7014C" w:rsidR="00852845" w:rsidTr="00852845" w14:paraId="2FE94F15" w14:textId="77777777">
        <w:trPr>
          <w:trHeight w:val="300"/>
        </w:trPr>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B7014C" w:rsidR="00852845" w:rsidP="00A07BAC" w:rsidRDefault="00852845" w14:paraId="714B9220" w14:textId="77777777">
            <w:pPr>
              <w:rPr>
                <w:b/>
                <w:bCs/>
                <w:color w:val="000000"/>
                <w:sz w:val="22"/>
                <w:szCs w:val="22"/>
                <w:lang w:eastAsia="en-GB"/>
              </w:rPr>
            </w:pPr>
            <w:r w:rsidRPr="00B7014C">
              <w:rPr>
                <w:b/>
                <w:bCs/>
                <w:color w:val="000000"/>
                <w:sz w:val="22"/>
                <w:szCs w:val="22"/>
                <w:lang w:eastAsia="en-GB"/>
              </w:rPr>
              <w:t>Age</w:t>
            </w:r>
          </w:p>
        </w:tc>
        <w:tc>
          <w:tcPr>
            <w:tcW w:w="1317" w:type="dxa"/>
            <w:tcBorders>
              <w:top w:val="single" w:color="auto" w:sz="4" w:space="0"/>
              <w:left w:val="nil"/>
              <w:bottom w:val="single" w:color="auto" w:sz="4" w:space="0"/>
              <w:right w:val="single" w:color="auto" w:sz="4" w:space="0"/>
            </w:tcBorders>
            <w:shd w:val="clear" w:color="000000" w:fill="FFFFFF"/>
            <w:noWrap/>
            <w:vAlign w:val="bottom"/>
            <w:hideMark/>
          </w:tcPr>
          <w:p w:rsidRPr="00B7014C" w:rsidR="00852845" w:rsidP="00670F64" w:rsidRDefault="00852845" w14:paraId="3DC3275B" w14:textId="77777777">
            <w:pPr>
              <w:jc w:val="center"/>
              <w:rPr>
                <w:b/>
                <w:bCs/>
                <w:color w:val="000000"/>
                <w:sz w:val="22"/>
                <w:szCs w:val="22"/>
                <w:lang w:eastAsia="en-GB"/>
              </w:rPr>
            </w:pPr>
            <w:r w:rsidRPr="00B7014C">
              <w:rPr>
                <w:b/>
                <w:bCs/>
                <w:color w:val="000000"/>
                <w:sz w:val="22"/>
                <w:szCs w:val="22"/>
                <w:lang w:eastAsia="en-GB"/>
              </w:rPr>
              <w:t>mid-2019</w:t>
            </w:r>
          </w:p>
        </w:tc>
        <w:tc>
          <w:tcPr>
            <w:tcW w:w="1329" w:type="dxa"/>
            <w:tcBorders>
              <w:top w:val="single" w:color="auto" w:sz="4" w:space="0"/>
              <w:left w:val="nil"/>
              <w:bottom w:val="single" w:color="auto" w:sz="4" w:space="0"/>
              <w:right w:val="single" w:color="auto" w:sz="4" w:space="0"/>
            </w:tcBorders>
            <w:vAlign w:val="bottom"/>
          </w:tcPr>
          <w:p w:rsidRPr="00B7014C" w:rsidR="00852845" w:rsidP="00670F64" w:rsidRDefault="00852845" w14:paraId="51B001C9" w14:textId="21CF50AD">
            <w:pPr>
              <w:jc w:val="center"/>
              <w:rPr>
                <w:b/>
                <w:bCs/>
                <w:color w:val="000000"/>
                <w:sz w:val="22"/>
                <w:szCs w:val="22"/>
                <w:lang w:eastAsia="en-GB"/>
              </w:rPr>
            </w:pPr>
            <w:r w:rsidRPr="00B7014C">
              <w:rPr>
                <w:b/>
                <w:bCs/>
                <w:color w:val="000000"/>
                <w:sz w:val="22"/>
                <w:szCs w:val="22"/>
                <w:lang w:eastAsia="en-GB"/>
              </w:rPr>
              <w:t>Mid-2020</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7014C" w:rsidR="00852845" w:rsidP="00670F64" w:rsidRDefault="00852845" w14:paraId="02C99C83" w14:textId="1A628C60">
            <w:pPr>
              <w:jc w:val="center"/>
              <w:rPr>
                <w:b/>
                <w:bCs/>
                <w:color w:val="000000"/>
                <w:sz w:val="22"/>
                <w:szCs w:val="22"/>
                <w:lang w:eastAsia="en-GB"/>
              </w:rPr>
            </w:pPr>
            <w:r w:rsidRPr="00B7014C">
              <w:rPr>
                <w:b/>
                <w:bCs/>
                <w:color w:val="000000"/>
                <w:sz w:val="22"/>
                <w:szCs w:val="22"/>
                <w:lang w:eastAsia="en-GB"/>
              </w:rPr>
              <w:t># change</w:t>
            </w:r>
          </w:p>
        </w:tc>
        <w:tc>
          <w:tcPr>
            <w:tcW w:w="1366" w:type="dxa"/>
            <w:tcBorders>
              <w:top w:val="single" w:color="auto" w:sz="4" w:space="0"/>
              <w:left w:val="nil"/>
              <w:bottom w:val="single" w:color="auto" w:sz="4" w:space="0"/>
              <w:right w:val="single" w:color="auto" w:sz="4" w:space="0"/>
            </w:tcBorders>
            <w:shd w:val="clear" w:color="auto" w:fill="auto"/>
            <w:noWrap/>
            <w:vAlign w:val="bottom"/>
            <w:hideMark/>
          </w:tcPr>
          <w:p w:rsidRPr="00B7014C" w:rsidR="00852845" w:rsidP="00670F64" w:rsidRDefault="00852845" w14:paraId="0B8607E3" w14:textId="77777777">
            <w:pPr>
              <w:jc w:val="center"/>
              <w:rPr>
                <w:b/>
                <w:bCs/>
                <w:color w:val="000000"/>
                <w:sz w:val="22"/>
                <w:szCs w:val="22"/>
                <w:lang w:eastAsia="en-GB"/>
              </w:rPr>
            </w:pPr>
            <w:r w:rsidRPr="00B7014C">
              <w:rPr>
                <w:b/>
                <w:bCs/>
                <w:color w:val="000000"/>
                <w:sz w:val="22"/>
                <w:szCs w:val="22"/>
                <w:lang w:eastAsia="en-GB"/>
              </w:rPr>
              <w:t>% change</w:t>
            </w:r>
          </w:p>
        </w:tc>
      </w:tr>
      <w:tr w:rsidRPr="00B7014C" w:rsidR="00852845" w:rsidTr="00484376" w14:paraId="20BFF993" w14:textId="77777777">
        <w:trPr>
          <w:trHeight w:val="285"/>
        </w:trPr>
        <w:tc>
          <w:tcPr>
            <w:tcW w:w="1080" w:type="dxa"/>
            <w:tcBorders>
              <w:top w:val="nil"/>
              <w:left w:val="single" w:color="auto" w:sz="4" w:space="0"/>
              <w:bottom w:val="single" w:color="auto" w:sz="4" w:space="0"/>
              <w:right w:val="single" w:color="auto" w:sz="4" w:space="0"/>
            </w:tcBorders>
            <w:shd w:val="clear" w:color="000000" w:fill="FFFFFF"/>
            <w:noWrap/>
            <w:vAlign w:val="bottom"/>
            <w:hideMark/>
          </w:tcPr>
          <w:p w:rsidRPr="00B7014C" w:rsidR="00852845" w:rsidP="00A07BAC" w:rsidRDefault="00852845" w14:paraId="248BAB44" w14:textId="77777777">
            <w:pPr>
              <w:rPr>
                <w:color w:val="000000"/>
                <w:sz w:val="22"/>
                <w:szCs w:val="22"/>
                <w:lang w:eastAsia="en-GB"/>
              </w:rPr>
            </w:pPr>
            <w:r w:rsidRPr="00B7014C">
              <w:rPr>
                <w:color w:val="000000"/>
                <w:sz w:val="22"/>
                <w:szCs w:val="22"/>
                <w:lang w:eastAsia="en-GB"/>
              </w:rPr>
              <w:t>0 to 4</w:t>
            </w:r>
          </w:p>
        </w:tc>
        <w:tc>
          <w:tcPr>
            <w:tcW w:w="1317" w:type="dxa"/>
            <w:tcBorders>
              <w:top w:val="nil"/>
              <w:left w:val="nil"/>
              <w:bottom w:val="single" w:color="auto" w:sz="4" w:space="0"/>
              <w:right w:val="single" w:color="auto" w:sz="4" w:space="0"/>
            </w:tcBorders>
            <w:shd w:val="clear" w:color="000000" w:fill="FFFFFF"/>
            <w:noWrap/>
            <w:vAlign w:val="bottom"/>
            <w:hideMark/>
          </w:tcPr>
          <w:p w:rsidRPr="00B7014C" w:rsidR="00852845" w:rsidP="00670F64" w:rsidRDefault="00852845" w14:paraId="419E1E56" w14:textId="3C4830BE">
            <w:pPr>
              <w:jc w:val="center"/>
              <w:rPr>
                <w:color w:val="000000"/>
                <w:sz w:val="22"/>
                <w:szCs w:val="22"/>
                <w:lang w:eastAsia="en-GB"/>
              </w:rPr>
            </w:pPr>
            <w:r w:rsidRPr="00B7014C">
              <w:rPr>
                <w:color w:val="000000"/>
                <w:sz w:val="22"/>
                <w:szCs w:val="22"/>
                <w:lang w:eastAsia="en-GB"/>
              </w:rPr>
              <w:t>17,842</w:t>
            </w:r>
          </w:p>
        </w:tc>
        <w:tc>
          <w:tcPr>
            <w:tcW w:w="1329" w:type="dxa"/>
            <w:tcBorders>
              <w:top w:val="single" w:color="auto" w:sz="4" w:space="0"/>
              <w:left w:val="nil"/>
              <w:bottom w:val="single" w:color="auto" w:sz="4" w:space="0"/>
              <w:right w:val="single" w:color="auto" w:sz="4" w:space="0"/>
            </w:tcBorders>
            <w:vAlign w:val="bottom"/>
          </w:tcPr>
          <w:p w:rsidRPr="00B7014C" w:rsidR="00852845" w:rsidP="00670F64" w:rsidRDefault="00852845" w14:paraId="52B1AEFC" w14:textId="7A850F62">
            <w:pPr>
              <w:jc w:val="center"/>
              <w:rPr>
                <w:color w:val="000000"/>
                <w:sz w:val="22"/>
                <w:szCs w:val="22"/>
                <w:lang w:eastAsia="en-GB"/>
              </w:rPr>
            </w:pPr>
            <w:r w:rsidRPr="00B7014C">
              <w:rPr>
                <w:color w:val="000000"/>
                <w:sz w:val="22"/>
                <w:szCs w:val="22"/>
                <w:lang w:eastAsia="en-GB"/>
              </w:rPr>
              <w:t>17,832</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7014C" w:rsidR="00852845" w:rsidP="00670F64" w:rsidRDefault="00484376" w14:paraId="69FEA7B0" w14:textId="60C5F7F1">
            <w:pPr>
              <w:jc w:val="center"/>
              <w:rPr>
                <w:color w:val="000000"/>
                <w:sz w:val="22"/>
                <w:szCs w:val="22"/>
                <w:lang w:eastAsia="en-GB"/>
              </w:rPr>
            </w:pPr>
            <w:r w:rsidRPr="00B7014C">
              <w:rPr>
                <w:color w:val="000000"/>
                <w:sz w:val="22"/>
                <w:szCs w:val="22"/>
                <w:lang w:eastAsia="en-GB"/>
              </w:rPr>
              <w:t>-10</w:t>
            </w:r>
          </w:p>
        </w:tc>
        <w:tc>
          <w:tcPr>
            <w:tcW w:w="1366" w:type="dxa"/>
            <w:tcBorders>
              <w:top w:val="nil"/>
              <w:left w:val="nil"/>
              <w:bottom w:val="single" w:color="auto" w:sz="4" w:space="0"/>
              <w:right w:val="single" w:color="auto" w:sz="4" w:space="0"/>
            </w:tcBorders>
            <w:shd w:val="clear" w:color="auto" w:fill="auto"/>
            <w:noWrap/>
            <w:vAlign w:val="bottom"/>
          </w:tcPr>
          <w:p w:rsidRPr="00B7014C" w:rsidR="00852845" w:rsidP="00670F64" w:rsidRDefault="00484376" w14:paraId="6973F662" w14:textId="5D68E50A">
            <w:pPr>
              <w:jc w:val="center"/>
              <w:rPr>
                <w:color w:val="000000"/>
                <w:sz w:val="22"/>
                <w:szCs w:val="22"/>
                <w:lang w:eastAsia="en-GB"/>
              </w:rPr>
            </w:pPr>
            <w:r w:rsidRPr="00B7014C">
              <w:rPr>
                <w:color w:val="000000"/>
                <w:sz w:val="22"/>
                <w:szCs w:val="22"/>
                <w:lang w:eastAsia="en-GB"/>
              </w:rPr>
              <w:t>-0.06%</w:t>
            </w:r>
          </w:p>
        </w:tc>
      </w:tr>
      <w:tr w:rsidRPr="00B7014C" w:rsidR="00852845" w:rsidTr="00484376" w14:paraId="713B67DC" w14:textId="77777777">
        <w:trPr>
          <w:trHeight w:val="285"/>
        </w:trPr>
        <w:tc>
          <w:tcPr>
            <w:tcW w:w="1080" w:type="dxa"/>
            <w:tcBorders>
              <w:top w:val="nil"/>
              <w:left w:val="single" w:color="auto" w:sz="4" w:space="0"/>
              <w:bottom w:val="single" w:color="auto" w:sz="4" w:space="0"/>
              <w:right w:val="single" w:color="auto" w:sz="4" w:space="0"/>
            </w:tcBorders>
            <w:shd w:val="clear" w:color="000000" w:fill="FFFFFF"/>
            <w:noWrap/>
            <w:vAlign w:val="bottom"/>
            <w:hideMark/>
          </w:tcPr>
          <w:p w:rsidRPr="00B7014C" w:rsidR="00852845" w:rsidP="00A07BAC" w:rsidRDefault="00852845" w14:paraId="7FD64C6C" w14:textId="77777777">
            <w:pPr>
              <w:rPr>
                <w:color w:val="000000"/>
                <w:sz w:val="22"/>
                <w:szCs w:val="22"/>
                <w:lang w:eastAsia="en-GB"/>
              </w:rPr>
            </w:pPr>
            <w:r w:rsidRPr="00B7014C">
              <w:rPr>
                <w:color w:val="000000"/>
                <w:sz w:val="22"/>
                <w:szCs w:val="22"/>
                <w:lang w:eastAsia="en-GB"/>
              </w:rPr>
              <w:t>5 to 9</w:t>
            </w:r>
          </w:p>
        </w:tc>
        <w:tc>
          <w:tcPr>
            <w:tcW w:w="1317" w:type="dxa"/>
            <w:tcBorders>
              <w:top w:val="nil"/>
              <w:left w:val="nil"/>
              <w:bottom w:val="single" w:color="auto" w:sz="4" w:space="0"/>
              <w:right w:val="single" w:color="auto" w:sz="4" w:space="0"/>
            </w:tcBorders>
            <w:shd w:val="clear" w:color="000000" w:fill="FFFFFF"/>
            <w:noWrap/>
            <w:vAlign w:val="bottom"/>
            <w:hideMark/>
          </w:tcPr>
          <w:p w:rsidRPr="00B7014C" w:rsidR="00852845" w:rsidP="00670F64" w:rsidRDefault="00852845" w14:paraId="1303D9F4" w14:textId="271FAC2F">
            <w:pPr>
              <w:jc w:val="center"/>
              <w:rPr>
                <w:color w:val="000000"/>
                <w:sz w:val="22"/>
                <w:szCs w:val="22"/>
                <w:lang w:eastAsia="en-GB"/>
              </w:rPr>
            </w:pPr>
            <w:r w:rsidRPr="00B7014C">
              <w:rPr>
                <w:color w:val="000000"/>
                <w:sz w:val="22"/>
                <w:szCs w:val="22"/>
                <w:lang w:eastAsia="en-GB"/>
              </w:rPr>
              <w:t>17,137</w:t>
            </w:r>
          </w:p>
        </w:tc>
        <w:tc>
          <w:tcPr>
            <w:tcW w:w="1329" w:type="dxa"/>
            <w:tcBorders>
              <w:top w:val="single" w:color="auto" w:sz="4" w:space="0"/>
              <w:left w:val="nil"/>
              <w:bottom w:val="single" w:color="auto" w:sz="4" w:space="0"/>
              <w:right w:val="single" w:color="auto" w:sz="4" w:space="0"/>
            </w:tcBorders>
            <w:vAlign w:val="bottom"/>
          </w:tcPr>
          <w:p w:rsidRPr="00B7014C" w:rsidR="00852845" w:rsidP="00670F64" w:rsidRDefault="00852845" w14:paraId="5ABE6962" w14:textId="68C587B7">
            <w:pPr>
              <w:jc w:val="center"/>
              <w:rPr>
                <w:color w:val="000000"/>
                <w:sz w:val="22"/>
                <w:szCs w:val="22"/>
                <w:lang w:eastAsia="en-GB"/>
              </w:rPr>
            </w:pPr>
            <w:r w:rsidRPr="00B7014C">
              <w:rPr>
                <w:color w:val="000000"/>
                <w:sz w:val="22"/>
                <w:szCs w:val="22"/>
                <w:lang w:eastAsia="en-GB"/>
              </w:rPr>
              <w:t>17,429</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7014C" w:rsidR="00852845" w:rsidP="00670F64" w:rsidRDefault="00484376" w14:paraId="15CD301F" w14:textId="07FFCE04">
            <w:pPr>
              <w:jc w:val="center"/>
              <w:rPr>
                <w:color w:val="000000"/>
                <w:sz w:val="22"/>
                <w:szCs w:val="22"/>
                <w:lang w:eastAsia="en-GB"/>
              </w:rPr>
            </w:pPr>
            <w:r w:rsidRPr="00B7014C">
              <w:rPr>
                <w:color w:val="000000"/>
                <w:sz w:val="22"/>
                <w:szCs w:val="22"/>
                <w:lang w:eastAsia="en-GB"/>
              </w:rPr>
              <w:t>292</w:t>
            </w:r>
          </w:p>
        </w:tc>
        <w:tc>
          <w:tcPr>
            <w:tcW w:w="1366" w:type="dxa"/>
            <w:tcBorders>
              <w:top w:val="nil"/>
              <w:left w:val="nil"/>
              <w:bottom w:val="single" w:color="auto" w:sz="4" w:space="0"/>
              <w:right w:val="single" w:color="auto" w:sz="4" w:space="0"/>
            </w:tcBorders>
            <w:shd w:val="clear" w:color="auto" w:fill="auto"/>
            <w:noWrap/>
            <w:vAlign w:val="bottom"/>
          </w:tcPr>
          <w:p w:rsidRPr="00B7014C" w:rsidR="00852845" w:rsidP="00670F64" w:rsidRDefault="00484376" w14:paraId="7BBBDDDD" w14:textId="50DA9E12">
            <w:pPr>
              <w:jc w:val="center"/>
              <w:rPr>
                <w:color w:val="000000"/>
                <w:sz w:val="22"/>
                <w:szCs w:val="22"/>
                <w:lang w:eastAsia="en-GB"/>
              </w:rPr>
            </w:pPr>
            <w:r w:rsidRPr="00B7014C">
              <w:rPr>
                <w:color w:val="000000"/>
                <w:sz w:val="22"/>
                <w:szCs w:val="22"/>
                <w:lang w:eastAsia="en-GB"/>
              </w:rPr>
              <w:t>1.70%</w:t>
            </w:r>
          </w:p>
        </w:tc>
      </w:tr>
      <w:tr w:rsidRPr="00B7014C" w:rsidR="00852845" w:rsidTr="00484376" w14:paraId="4CAF4B98" w14:textId="77777777">
        <w:trPr>
          <w:trHeight w:val="285"/>
        </w:trPr>
        <w:tc>
          <w:tcPr>
            <w:tcW w:w="1080" w:type="dxa"/>
            <w:tcBorders>
              <w:top w:val="nil"/>
              <w:left w:val="single" w:color="auto" w:sz="4" w:space="0"/>
              <w:bottom w:val="single" w:color="auto" w:sz="4" w:space="0"/>
              <w:right w:val="single" w:color="auto" w:sz="4" w:space="0"/>
            </w:tcBorders>
            <w:shd w:val="clear" w:color="000000" w:fill="FFFFFF"/>
            <w:noWrap/>
            <w:vAlign w:val="bottom"/>
            <w:hideMark/>
          </w:tcPr>
          <w:p w:rsidRPr="00B7014C" w:rsidR="00852845" w:rsidP="00A07BAC" w:rsidRDefault="00852845" w14:paraId="0F0C5770" w14:textId="77777777">
            <w:pPr>
              <w:rPr>
                <w:color w:val="000000"/>
                <w:sz w:val="22"/>
                <w:szCs w:val="22"/>
                <w:lang w:eastAsia="en-GB"/>
              </w:rPr>
            </w:pPr>
            <w:r w:rsidRPr="00B7014C">
              <w:rPr>
                <w:color w:val="000000"/>
                <w:sz w:val="22"/>
                <w:szCs w:val="22"/>
                <w:lang w:eastAsia="en-GB"/>
              </w:rPr>
              <w:t>10 to 14</w:t>
            </w:r>
          </w:p>
        </w:tc>
        <w:tc>
          <w:tcPr>
            <w:tcW w:w="1317" w:type="dxa"/>
            <w:tcBorders>
              <w:top w:val="nil"/>
              <w:left w:val="nil"/>
              <w:bottom w:val="single" w:color="auto" w:sz="4" w:space="0"/>
              <w:right w:val="single" w:color="auto" w:sz="4" w:space="0"/>
            </w:tcBorders>
            <w:shd w:val="clear" w:color="000000" w:fill="FFFFFF"/>
            <w:noWrap/>
            <w:vAlign w:val="bottom"/>
            <w:hideMark/>
          </w:tcPr>
          <w:p w:rsidRPr="00B7014C" w:rsidR="00852845" w:rsidP="00670F64" w:rsidRDefault="00852845" w14:paraId="2DB759ED" w14:textId="77125BE9">
            <w:pPr>
              <w:jc w:val="center"/>
              <w:rPr>
                <w:color w:val="000000"/>
                <w:sz w:val="22"/>
                <w:szCs w:val="22"/>
                <w:lang w:eastAsia="en-GB"/>
              </w:rPr>
            </w:pPr>
            <w:r w:rsidRPr="00B7014C">
              <w:rPr>
                <w:color w:val="000000"/>
                <w:sz w:val="22"/>
                <w:szCs w:val="22"/>
                <w:lang w:eastAsia="en-GB"/>
              </w:rPr>
              <w:t>15,333</w:t>
            </w:r>
          </w:p>
        </w:tc>
        <w:tc>
          <w:tcPr>
            <w:tcW w:w="1329" w:type="dxa"/>
            <w:tcBorders>
              <w:top w:val="single" w:color="auto" w:sz="4" w:space="0"/>
              <w:left w:val="nil"/>
              <w:bottom w:val="single" w:color="auto" w:sz="4" w:space="0"/>
              <w:right w:val="single" w:color="auto" w:sz="4" w:space="0"/>
            </w:tcBorders>
            <w:vAlign w:val="bottom"/>
          </w:tcPr>
          <w:p w:rsidRPr="00B7014C" w:rsidR="00852845" w:rsidP="00670F64" w:rsidRDefault="00852845" w14:paraId="4A0E0359" w14:textId="30A09596">
            <w:pPr>
              <w:jc w:val="center"/>
              <w:rPr>
                <w:color w:val="000000"/>
                <w:sz w:val="22"/>
                <w:szCs w:val="22"/>
                <w:lang w:eastAsia="en-GB"/>
              </w:rPr>
            </w:pPr>
            <w:r w:rsidRPr="00B7014C">
              <w:rPr>
                <w:color w:val="000000"/>
                <w:sz w:val="22"/>
                <w:szCs w:val="22"/>
                <w:lang w:eastAsia="en-GB"/>
              </w:rPr>
              <w:t>15,552</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7014C" w:rsidR="00852845" w:rsidP="00670F64" w:rsidRDefault="00F60ED0" w14:paraId="6E01B57B" w14:textId="1221EC8F">
            <w:pPr>
              <w:jc w:val="center"/>
              <w:rPr>
                <w:color w:val="000000"/>
                <w:sz w:val="22"/>
                <w:szCs w:val="22"/>
                <w:lang w:eastAsia="en-GB"/>
              </w:rPr>
            </w:pPr>
            <w:r w:rsidRPr="00B7014C">
              <w:rPr>
                <w:color w:val="000000"/>
                <w:sz w:val="22"/>
                <w:szCs w:val="22"/>
                <w:lang w:eastAsia="en-GB"/>
              </w:rPr>
              <w:t>219</w:t>
            </w:r>
          </w:p>
        </w:tc>
        <w:tc>
          <w:tcPr>
            <w:tcW w:w="1366" w:type="dxa"/>
            <w:tcBorders>
              <w:top w:val="nil"/>
              <w:left w:val="nil"/>
              <w:bottom w:val="single" w:color="auto" w:sz="4" w:space="0"/>
              <w:right w:val="single" w:color="auto" w:sz="4" w:space="0"/>
            </w:tcBorders>
            <w:shd w:val="clear" w:color="auto" w:fill="auto"/>
            <w:noWrap/>
            <w:vAlign w:val="bottom"/>
          </w:tcPr>
          <w:p w:rsidRPr="00B7014C" w:rsidR="00852845" w:rsidP="00670F64" w:rsidRDefault="00F60ED0" w14:paraId="529C2E76" w14:textId="2D68AE23">
            <w:pPr>
              <w:jc w:val="center"/>
              <w:rPr>
                <w:color w:val="000000"/>
                <w:sz w:val="22"/>
                <w:szCs w:val="22"/>
                <w:lang w:eastAsia="en-GB"/>
              </w:rPr>
            </w:pPr>
            <w:r w:rsidRPr="00B7014C">
              <w:rPr>
                <w:color w:val="000000"/>
                <w:sz w:val="22"/>
                <w:szCs w:val="22"/>
                <w:lang w:eastAsia="en-GB"/>
              </w:rPr>
              <w:t>1.43%</w:t>
            </w:r>
          </w:p>
        </w:tc>
      </w:tr>
      <w:tr w:rsidRPr="00B7014C" w:rsidR="00852845" w:rsidTr="00484376" w14:paraId="1129A2B2" w14:textId="77777777">
        <w:trPr>
          <w:trHeight w:val="285"/>
        </w:trPr>
        <w:tc>
          <w:tcPr>
            <w:tcW w:w="1080" w:type="dxa"/>
            <w:tcBorders>
              <w:top w:val="nil"/>
              <w:left w:val="single" w:color="auto" w:sz="4" w:space="0"/>
              <w:bottom w:val="single" w:color="auto" w:sz="4" w:space="0"/>
              <w:right w:val="single" w:color="auto" w:sz="4" w:space="0"/>
            </w:tcBorders>
            <w:shd w:val="clear" w:color="000000" w:fill="FFFFFF"/>
            <w:noWrap/>
            <w:vAlign w:val="bottom"/>
            <w:hideMark/>
          </w:tcPr>
          <w:p w:rsidRPr="00B7014C" w:rsidR="00852845" w:rsidP="00A07BAC" w:rsidRDefault="00852845" w14:paraId="7BF3E12E" w14:textId="77777777">
            <w:pPr>
              <w:rPr>
                <w:color w:val="000000"/>
                <w:sz w:val="22"/>
                <w:szCs w:val="22"/>
                <w:lang w:eastAsia="en-GB"/>
              </w:rPr>
            </w:pPr>
            <w:r w:rsidRPr="00B7014C">
              <w:rPr>
                <w:color w:val="000000"/>
                <w:sz w:val="22"/>
                <w:szCs w:val="22"/>
                <w:lang w:eastAsia="en-GB"/>
              </w:rPr>
              <w:t>15 to 19</w:t>
            </w:r>
          </w:p>
        </w:tc>
        <w:tc>
          <w:tcPr>
            <w:tcW w:w="1317" w:type="dxa"/>
            <w:tcBorders>
              <w:top w:val="nil"/>
              <w:left w:val="nil"/>
              <w:bottom w:val="single" w:color="auto" w:sz="4" w:space="0"/>
              <w:right w:val="single" w:color="auto" w:sz="4" w:space="0"/>
            </w:tcBorders>
            <w:shd w:val="clear" w:color="000000" w:fill="FFFFFF"/>
            <w:noWrap/>
            <w:vAlign w:val="bottom"/>
            <w:hideMark/>
          </w:tcPr>
          <w:p w:rsidRPr="00B7014C" w:rsidR="00852845" w:rsidP="00670F64" w:rsidRDefault="00852845" w14:paraId="210BC017" w14:textId="1CF82738">
            <w:pPr>
              <w:jc w:val="center"/>
              <w:rPr>
                <w:color w:val="000000"/>
                <w:sz w:val="22"/>
                <w:szCs w:val="22"/>
                <w:lang w:eastAsia="en-GB"/>
              </w:rPr>
            </w:pPr>
            <w:r w:rsidRPr="00B7014C">
              <w:rPr>
                <w:color w:val="000000"/>
                <w:sz w:val="22"/>
                <w:szCs w:val="22"/>
                <w:lang w:eastAsia="en-GB"/>
              </w:rPr>
              <w:t>13,644</w:t>
            </w:r>
          </w:p>
        </w:tc>
        <w:tc>
          <w:tcPr>
            <w:tcW w:w="1329" w:type="dxa"/>
            <w:tcBorders>
              <w:top w:val="single" w:color="auto" w:sz="4" w:space="0"/>
              <w:left w:val="nil"/>
              <w:bottom w:val="single" w:color="auto" w:sz="4" w:space="0"/>
              <w:right w:val="single" w:color="auto" w:sz="4" w:space="0"/>
            </w:tcBorders>
            <w:vAlign w:val="bottom"/>
          </w:tcPr>
          <w:p w:rsidRPr="00B7014C" w:rsidR="00852845" w:rsidP="00670F64" w:rsidRDefault="00852845" w14:paraId="4C6513AE" w14:textId="468B5796">
            <w:pPr>
              <w:jc w:val="center"/>
              <w:rPr>
                <w:color w:val="000000"/>
                <w:sz w:val="22"/>
                <w:szCs w:val="22"/>
                <w:lang w:eastAsia="en-GB"/>
              </w:rPr>
            </w:pPr>
            <w:r w:rsidRPr="00B7014C">
              <w:rPr>
                <w:color w:val="000000"/>
                <w:sz w:val="22"/>
                <w:szCs w:val="22"/>
                <w:lang w:eastAsia="en-GB"/>
              </w:rPr>
              <w:t>13,951</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7014C" w:rsidR="00852845" w:rsidP="00670F64" w:rsidRDefault="00F60ED0" w14:paraId="5AD4E6CE" w14:textId="2E9F6FE2">
            <w:pPr>
              <w:jc w:val="center"/>
              <w:rPr>
                <w:color w:val="000000"/>
                <w:sz w:val="22"/>
                <w:szCs w:val="22"/>
                <w:lang w:eastAsia="en-GB"/>
              </w:rPr>
            </w:pPr>
            <w:r w:rsidRPr="00B7014C">
              <w:rPr>
                <w:color w:val="000000"/>
                <w:sz w:val="22"/>
                <w:szCs w:val="22"/>
                <w:lang w:eastAsia="en-GB"/>
              </w:rPr>
              <w:t>307</w:t>
            </w:r>
          </w:p>
        </w:tc>
        <w:tc>
          <w:tcPr>
            <w:tcW w:w="1366" w:type="dxa"/>
            <w:tcBorders>
              <w:top w:val="nil"/>
              <w:left w:val="nil"/>
              <w:bottom w:val="single" w:color="auto" w:sz="4" w:space="0"/>
              <w:right w:val="single" w:color="auto" w:sz="4" w:space="0"/>
            </w:tcBorders>
            <w:shd w:val="clear" w:color="auto" w:fill="auto"/>
            <w:noWrap/>
            <w:vAlign w:val="bottom"/>
          </w:tcPr>
          <w:p w:rsidRPr="00B7014C" w:rsidR="00852845" w:rsidP="00670F64" w:rsidRDefault="00F60ED0" w14:paraId="34A74C5F" w14:textId="5A4699A8">
            <w:pPr>
              <w:jc w:val="center"/>
              <w:rPr>
                <w:color w:val="000000"/>
                <w:sz w:val="22"/>
                <w:szCs w:val="22"/>
                <w:lang w:eastAsia="en-GB"/>
              </w:rPr>
            </w:pPr>
            <w:r w:rsidRPr="00B7014C">
              <w:rPr>
                <w:color w:val="000000"/>
                <w:sz w:val="22"/>
                <w:szCs w:val="22"/>
                <w:lang w:eastAsia="en-GB"/>
              </w:rPr>
              <w:t>2.25%</w:t>
            </w:r>
          </w:p>
        </w:tc>
      </w:tr>
      <w:tr w:rsidRPr="00B7014C" w:rsidR="00852845" w:rsidTr="00484376" w14:paraId="1E9FB2C1" w14:textId="77777777">
        <w:trPr>
          <w:trHeight w:val="285"/>
        </w:trPr>
        <w:tc>
          <w:tcPr>
            <w:tcW w:w="1080" w:type="dxa"/>
            <w:tcBorders>
              <w:top w:val="nil"/>
              <w:left w:val="single" w:color="auto" w:sz="4" w:space="0"/>
              <w:bottom w:val="single" w:color="auto" w:sz="4" w:space="0"/>
              <w:right w:val="single" w:color="auto" w:sz="4" w:space="0"/>
            </w:tcBorders>
            <w:shd w:val="clear" w:color="000000" w:fill="FFFFFF"/>
            <w:noWrap/>
            <w:vAlign w:val="bottom"/>
            <w:hideMark/>
          </w:tcPr>
          <w:p w:rsidRPr="00B7014C" w:rsidR="00852845" w:rsidP="00A07BAC" w:rsidRDefault="00852845" w14:paraId="05533366" w14:textId="77777777">
            <w:pPr>
              <w:rPr>
                <w:color w:val="000000"/>
                <w:sz w:val="22"/>
                <w:szCs w:val="22"/>
                <w:lang w:eastAsia="en-GB"/>
              </w:rPr>
            </w:pPr>
            <w:r w:rsidRPr="00B7014C">
              <w:rPr>
                <w:color w:val="000000"/>
                <w:sz w:val="22"/>
                <w:szCs w:val="22"/>
                <w:lang w:eastAsia="en-GB"/>
              </w:rPr>
              <w:t>20 to 24</w:t>
            </w:r>
          </w:p>
        </w:tc>
        <w:tc>
          <w:tcPr>
            <w:tcW w:w="1317" w:type="dxa"/>
            <w:tcBorders>
              <w:top w:val="nil"/>
              <w:left w:val="nil"/>
              <w:bottom w:val="single" w:color="auto" w:sz="4" w:space="0"/>
              <w:right w:val="single" w:color="auto" w:sz="4" w:space="0"/>
            </w:tcBorders>
            <w:shd w:val="clear" w:color="000000" w:fill="FFFFFF"/>
            <w:noWrap/>
            <w:vAlign w:val="bottom"/>
            <w:hideMark/>
          </w:tcPr>
          <w:p w:rsidRPr="00B7014C" w:rsidR="00852845" w:rsidP="00670F64" w:rsidRDefault="00852845" w14:paraId="46348CFB" w14:textId="15668762">
            <w:pPr>
              <w:jc w:val="center"/>
              <w:rPr>
                <w:color w:val="000000"/>
                <w:sz w:val="22"/>
                <w:szCs w:val="22"/>
                <w:lang w:eastAsia="en-GB"/>
              </w:rPr>
            </w:pPr>
            <w:r w:rsidRPr="00B7014C">
              <w:rPr>
                <w:color w:val="000000"/>
                <w:sz w:val="22"/>
                <w:szCs w:val="22"/>
                <w:lang w:eastAsia="en-GB"/>
              </w:rPr>
              <w:t>13,039</w:t>
            </w:r>
          </w:p>
        </w:tc>
        <w:tc>
          <w:tcPr>
            <w:tcW w:w="1329" w:type="dxa"/>
            <w:tcBorders>
              <w:top w:val="single" w:color="auto" w:sz="4" w:space="0"/>
              <w:left w:val="nil"/>
              <w:bottom w:val="single" w:color="auto" w:sz="4" w:space="0"/>
              <w:right w:val="single" w:color="auto" w:sz="4" w:space="0"/>
            </w:tcBorders>
            <w:vAlign w:val="bottom"/>
          </w:tcPr>
          <w:p w:rsidRPr="00B7014C" w:rsidR="00852845" w:rsidP="00670F64" w:rsidRDefault="00852845" w14:paraId="0EE80D8E" w14:textId="11D04CA0">
            <w:pPr>
              <w:jc w:val="center"/>
              <w:rPr>
                <w:color w:val="000000"/>
                <w:sz w:val="22"/>
                <w:szCs w:val="22"/>
                <w:lang w:eastAsia="en-GB"/>
              </w:rPr>
            </w:pPr>
            <w:r w:rsidRPr="00B7014C">
              <w:rPr>
                <w:color w:val="000000"/>
                <w:sz w:val="22"/>
                <w:szCs w:val="22"/>
                <w:lang w:eastAsia="en-GB"/>
              </w:rPr>
              <w:t>12,889</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7014C" w:rsidR="00852845" w:rsidP="00670F64" w:rsidRDefault="00F60ED0" w14:paraId="69114C0D" w14:textId="4AF6EB9A">
            <w:pPr>
              <w:jc w:val="center"/>
              <w:rPr>
                <w:color w:val="000000"/>
                <w:sz w:val="22"/>
                <w:szCs w:val="22"/>
                <w:lang w:eastAsia="en-GB"/>
              </w:rPr>
            </w:pPr>
            <w:r w:rsidRPr="00B7014C">
              <w:rPr>
                <w:color w:val="000000"/>
                <w:sz w:val="22"/>
                <w:szCs w:val="22"/>
                <w:lang w:eastAsia="en-GB"/>
              </w:rPr>
              <w:t>-150</w:t>
            </w:r>
          </w:p>
        </w:tc>
        <w:tc>
          <w:tcPr>
            <w:tcW w:w="1366" w:type="dxa"/>
            <w:tcBorders>
              <w:top w:val="nil"/>
              <w:left w:val="nil"/>
              <w:bottom w:val="single" w:color="auto" w:sz="4" w:space="0"/>
              <w:right w:val="single" w:color="auto" w:sz="4" w:space="0"/>
            </w:tcBorders>
            <w:shd w:val="clear" w:color="auto" w:fill="auto"/>
            <w:noWrap/>
            <w:vAlign w:val="bottom"/>
          </w:tcPr>
          <w:p w:rsidRPr="00B7014C" w:rsidR="00852845" w:rsidP="00670F64" w:rsidRDefault="00F60ED0" w14:paraId="579F8AE1" w14:textId="725A8402">
            <w:pPr>
              <w:jc w:val="center"/>
              <w:rPr>
                <w:color w:val="000000"/>
                <w:sz w:val="22"/>
                <w:szCs w:val="22"/>
                <w:lang w:eastAsia="en-GB"/>
              </w:rPr>
            </w:pPr>
            <w:r w:rsidRPr="00B7014C">
              <w:rPr>
                <w:color w:val="000000"/>
                <w:sz w:val="22"/>
                <w:szCs w:val="22"/>
                <w:lang w:eastAsia="en-GB"/>
              </w:rPr>
              <w:t>-1.15%</w:t>
            </w:r>
          </w:p>
        </w:tc>
      </w:tr>
    </w:tbl>
    <w:p w:rsidRPr="00B7014C" w:rsidR="008E47B1" w:rsidP="00A16979" w:rsidRDefault="00A07BAC" w14:paraId="6EEE7637" w14:textId="308D0C35">
      <w:pPr>
        <w:rPr>
          <w:bCs/>
          <w:sz w:val="20"/>
          <w:szCs w:val="20"/>
        </w:rPr>
      </w:pPr>
      <w:r w:rsidRPr="00B7014C">
        <w:rPr>
          <w:bCs/>
          <w:sz w:val="20"/>
          <w:szCs w:val="20"/>
        </w:rPr>
        <w:t xml:space="preserve">Source: </w:t>
      </w:r>
      <w:r w:rsidRPr="00B7014C" w:rsidR="002C7774">
        <w:rPr>
          <w:bCs/>
          <w:sz w:val="20"/>
          <w:szCs w:val="20"/>
        </w:rPr>
        <w:t xml:space="preserve">Population Estimates Table </w:t>
      </w:r>
      <w:r w:rsidRPr="00B7014C">
        <w:rPr>
          <w:bCs/>
          <w:sz w:val="20"/>
          <w:szCs w:val="20"/>
        </w:rPr>
        <w:t>(20</w:t>
      </w:r>
      <w:r w:rsidRPr="00B7014C" w:rsidR="002C7774">
        <w:rPr>
          <w:bCs/>
          <w:sz w:val="20"/>
          <w:szCs w:val="20"/>
        </w:rPr>
        <w:t>20</w:t>
      </w:r>
      <w:r w:rsidRPr="00B7014C">
        <w:rPr>
          <w:bCs/>
          <w:sz w:val="20"/>
          <w:szCs w:val="20"/>
        </w:rPr>
        <w:t>)</w:t>
      </w:r>
    </w:p>
    <w:p w:rsidRPr="00B7014C" w:rsidR="00FC2A9D" w:rsidP="00A16979" w:rsidRDefault="00FC2A9D" w14:paraId="1E69479B" w14:textId="77777777">
      <w:pPr>
        <w:rPr>
          <w:b/>
          <w:bCs/>
        </w:rPr>
      </w:pPr>
    </w:p>
    <w:p w:rsidRPr="00B7014C" w:rsidR="00A16979" w:rsidP="00A16979" w:rsidRDefault="00615597" w14:paraId="6CA8B820" w14:textId="20041A79">
      <w:pPr>
        <w:rPr>
          <w:b/>
          <w:bCs/>
        </w:rPr>
      </w:pPr>
      <w:r w:rsidRPr="00B7014C">
        <w:rPr>
          <w:b/>
          <w:bCs/>
        </w:rPr>
        <w:t xml:space="preserve">ONS </w:t>
      </w:r>
      <w:r w:rsidRPr="00B7014C" w:rsidR="0076307E">
        <w:rPr>
          <w:b/>
          <w:bCs/>
        </w:rPr>
        <w:t>Sub National Population Projections</w:t>
      </w:r>
    </w:p>
    <w:p w:rsidRPr="00B7014C" w:rsidR="0076307E" w:rsidP="00A16979" w:rsidRDefault="00FC4B9D" w14:paraId="13E348B0" w14:textId="34EA5A99">
      <w:r w:rsidRPr="00B7014C">
        <w:t xml:space="preserve">The ONS’s </w:t>
      </w:r>
      <w:r w:rsidRPr="00B7014C" w:rsidR="0076307E">
        <w:t>Population Projections (SNPP) provide statistics on potential future size and age structure of the population.  They are based on past trends and assumptions of future levels of births, deaths and migration.  They do not incorporate local development plans but instead provide a baseline, which can be combined with local knowledge.</w:t>
      </w:r>
    </w:p>
    <w:p w:rsidRPr="00B7014C" w:rsidR="0076307E" w:rsidP="00A16979" w:rsidRDefault="0076307E" w14:paraId="6ACCB45D" w14:textId="77777777"/>
    <w:p w:rsidRPr="00B7014C" w:rsidR="00FC4B9D" w:rsidP="00A16979" w:rsidRDefault="00FC4B9D" w14:paraId="1DA27980" w14:textId="3A83F067">
      <w:pPr>
        <w:rPr>
          <w:b/>
        </w:rPr>
      </w:pPr>
      <w:r w:rsidRPr="00B7014C">
        <w:rPr>
          <w:b/>
        </w:rPr>
        <w:t>Harrow’s 2018-based SNPPs</w:t>
      </w:r>
    </w:p>
    <w:p w:rsidRPr="00B7014C" w:rsidR="003132ED" w:rsidP="003132ED" w:rsidRDefault="003132ED" w14:paraId="2BA7648D" w14:textId="77777777">
      <w:pPr>
        <w:contextualSpacing/>
      </w:pPr>
      <w:r w:rsidRPr="00B7014C">
        <w:t xml:space="preserve">According to the ONS’s SNPPs Harrow’s primary age children from 0 to 4 and 5 to 9 are projected to decrease between 2018 and 2028.  </w:t>
      </w:r>
    </w:p>
    <w:p w:rsidRPr="00B7014C" w:rsidR="003132ED" w:rsidP="003132ED" w:rsidRDefault="003132ED" w14:paraId="4FC93C8E" w14:textId="77777777">
      <w:pPr>
        <w:pStyle w:val="ListParagraph"/>
      </w:pPr>
    </w:p>
    <w:p w:rsidRPr="00B7014C" w:rsidR="006703F3" w:rsidP="003132ED" w:rsidRDefault="003132ED" w14:paraId="3F582CD5" w14:textId="7624EA6D">
      <w:r w:rsidRPr="00B7014C">
        <w:t>According to the ONS’s SNPPs Harrow’s secondary age children from 10 to 19 are projected to continue increasing;</w:t>
      </w:r>
    </w:p>
    <w:p w:rsidRPr="00B7014C" w:rsidR="006703F3" w:rsidP="00A16979" w:rsidRDefault="006703F3" w14:paraId="34BCC44A" w14:textId="77777777"/>
    <w:tbl>
      <w:tblPr>
        <w:tblW w:w="9730" w:type="dxa"/>
        <w:tblInd w:w="93" w:type="dxa"/>
        <w:tblLook w:val="04A0" w:firstRow="1" w:lastRow="0" w:firstColumn="1" w:lastColumn="0" w:noHBand="0" w:noVBand="1"/>
      </w:tblPr>
      <w:tblGrid>
        <w:gridCol w:w="1460"/>
        <w:gridCol w:w="960"/>
        <w:gridCol w:w="960"/>
        <w:gridCol w:w="1060"/>
        <w:gridCol w:w="2605"/>
        <w:gridCol w:w="2685"/>
      </w:tblGrid>
      <w:tr w:rsidRPr="00B7014C" w:rsidR="00C15C1F" w:rsidTr="00C15C1F" w14:paraId="150E011C" w14:textId="77777777">
        <w:trPr>
          <w:trHeight w:val="315"/>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C15C1F" w:rsidP="00C15C1F" w:rsidRDefault="00C15C1F" w14:paraId="6B764900" w14:textId="77777777">
            <w:pPr>
              <w:rPr>
                <w:b/>
                <w:bCs/>
                <w:color w:val="000000"/>
                <w:lang w:eastAsia="en-GB"/>
              </w:rPr>
            </w:pPr>
            <w:r w:rsidRPr="00B7014C">
              <w:rPr>
                <w:b/>
                <w:bCs/>
                <w:color w:val="000000"/>
                <w:lang w:eastAsia="en-GB"/>
              </w:rPr>
              <w:t>Age range</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B7014C" w:rsidR="00C15C1F" w:rsidP="00C15C1F" w:rsidRDefault="00C15C1F" w14:paraId="33DB65BC" w14:textId="77777777">
            <w:pPr>
              <w:jc w:val="center"/>
              <w:rPr>
                <w:b/>
                <w:bCs/>
                <w:color w:val="000000"/>
                <w:lang w:eastAsia="en-GB"/>
              </w:rPr>
            </w:pPr>
            <w:r w:rsidRPr="00B7014C">
              <w:rPr>
                <w:b/>
                <w:bCs/>
                <w:color w:val="000000"/>
                <w:lang w:eastAsia="en-GB"/>
              </w:rPr>
              <w:t>2018</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B7014C" w:rsidR="00C15C1F" w:rsidP="00C15C1F" w:rsidRDefault="00C15C1F" w14:paraId="02DAA3F5" w14:textId="77777777">
            <w:pPr>
              <w:jc w:val="center"/>
              <w:rPr>
                <w:b/>
                <w:bCs/>
                <w:color w:val="000000"/>
                <w:lang w:eastAsia="en-GB"/>
              </w:rPr>
            </w:pPr>
            <w:r w:rsidRPr="00B7014C">
              <w:rPr>
                <w:b/>
                <w:bCs/>
                <w:color w:val="000000"/>
                <w:lang w:eastAsia="en-GB"/>
              </w:rPr>
              <w:t>2023</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B7014C" w:rsidR="00C15C1F" w:rsidP="00C15C1F" w:rsidRDefault="00C15C1F" w14:paraId="18D0AC7F" w14:textId="77777777">
            <w:pPr>
              <w:jc w:val="center"/>
              <w:rPr>
                <w:b/>
                <w:bCs/>
                <w:color w:val="000000"/>
                <w:lang w:eastAsia="en-GB"/>
              </w:rPr>
            </w:pPr>
            <w:r w:rsidRPr="00B7014C">
              <w:rPr>
                <w:b/>
                <w:bCs/>
                <w:color w:val="000000"/>
                <w:lang w:eastAsia="en-GB"/>
              </w:rPr>
              <w:t>2028</w:t>
            </w:r>
          </w:p>
        </w:tc>
        <w:tc>
          <w:tcPr>
            <w:tcW w:w="2605" w:type="dxa"/>
            <w:tcBorders>
              <w:top w:val="single" w:color="auto" w:sz="4" w:space="0"/>
              <w:left w:val="nil"/>
              <w:bottom w:val="single" w:color="auto" w:sz="4" w:space="0"/>
              <w:right w:val="single" w:color="auto" w:sz="4" w:space="0"/>
            </w:tcBorders>
            <w:shd w:val="clear" w:color="auto" w:fill="auto"/>
            <w:noWrap/>
            <w:vAlign w:val="center"/>
            <w:hideMark/>
          </w:tcPr>
          <w:p w:rsidRPr="00B7014C" w:rsidR="00C15C1F" w:rsidP="00C15C1F" w:rsidRDefault="00C15C1F" w14:paraId="18764A5A" w14:textId="77777777">
            <w:pPr>
              <w:jc w:val="center"/>
              <w:rPr>
                <w:b/>
                <w:bCs/>
                <w:color w:val="000000"/>
                <w:lang w:eastAsia="en-GB"/>
              </w:rPr>
            </w:pPr>
            <w:r w:rsidRPr="00B7014C">
              <w:rPr>
                <w:b/>
                <w:bCs/>
                <w:color w:val="000000"/>
                <w:lang w:eastAsia="en-GB"/>
              </w:rPr>
              <w:t># change 2018-2028</w:t>
            </w:r>
          </w:p>
        </w:tc>
        <w:tc>
          <w:tcPr>
            <w:tcW w:w="2685" w:type="dxa"/>
            <w:tcBorders>
              <w:top w:val="single" w:color="auto" w:sz="4" w:space="0"/>
              <w:left w:val="nil"/>
              <w:bottom w:val="single" w:color="auto" w:sz="4" w:space="0"/>
              <w:right w:val="single" w:color="auto" w:sz="4" w:space="0"/>
            </w:tcBorders>
            <w:shd w:val="clear" w:color="auto" w:fill="auto"/>
            <w:noWrap/>
            <w:vAlign w:val="center"/>
            <w:hideMark/>
          </w:tcPr>
          <w:p w:rsidRPr="00B7014C" w:rsidR="00C15C1F" w:rsidP="00C15C1F" w:rsidRDefault="00C15C1F" w14:paraId="0D0F0A62" w14:textId="77777777">
            <w:pPr>
              <w:jc w:val="center"/>
              <w:rPr>
                <w:b/>
                <w:bCs/>
                <w:color w:val="000000"/>
                <w:lang w:eastAsia="en-GB"/>
              </w:rPr>
            </w:pPr>
            <w:r w:rsidRPr="00B7014C">
              <w:rPr>
                <w:b/>
                <w:bCs/>
                <w:color w:val="000000"/>
                <w:lang w:eastAsia="en-GB"/>
              </w:rPr>
              <w:t>% change 2018-2028</w:t>
            </w:r>
          </w:p>
        </w:tc>
      </w:tr>
      <w:tr w:rsidRPr="00B7014C" w:rsidR="00C15C1F" w:rsidTr="00C15C1F" w14:paraId="1B68F720" w14:textId="77777777">
        <w:trPr>
          <w:trHeight w:val="300"/>
        </w:trPr>
        <w:tc>
          <w:tcPr>
            <w:tcW w:w="1460" w:type="dxa"/>
            <w:tcBorders>
              <w:top w:val="nil"/>
              <w:left w:val="single" w:color="auto" w:sz="4" w:space="0"/>
              <w:bottom w:val="single" w:color="auto" w:sz="4" w:space="0"/>
              <w:right w:val="single" w:color="auto" w:sz="4" w:space="0"/>
            </w:tcBorders>
            <w:shd w:val="clear" w:color="auto" w:fill="auto"/>
            <w:vAlign w:val="center"/>
            <w:hideMark/>
          </w:tcPr>
          <w:p w:rsidRPr="00B7014C" w:rsidR="00C15C1F" w:rsidP="00C15C1F" w:rsidRDefault="00C15C1F" w14:paraId="554D48CA" w14:textId="77777777">
            <w:pPr>
              <w:rPr>
                <w:color w:val="000000"/>
                <w:lang w:eastAsia="en-GB"/>
              </w:rPr>
            </w:pPr>
            <w:r w:rsidRPr="00B7014C">
              <w:rPr>
                <w:color w:val="000000"/>
                <w:lang w:eastAsia="en-GB"/>
              </w:rPr>
              <w:t>0-4</w:t>
            </w:r>
          </w:p>
        </w:tc>
        <w:tc>
          <w:tcPr>
            <w:tcW w:w="9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10EE6160" w14:textId="77777777">
            <w:pPr>
              <w:jc w:val="center"/>
              <w:rPr>
                <w:color w:val="000000"/>
                <w:lang w:eastAsia="en-GB"/>
              </w:rPr>
            </w:pPr>
            <w:r w:rsidRPr="00B7014C">
              <w:rPr>
                <w:color w:val="000000"/>
                <w:lang w:eastAsia="en-GB"/>
              </w:rPr>
              <w:t>17,745</w:t>
            </w:r>
          </w:p>
        </w:tc>
        <w:tc>
          <w:tcPr>
            <w:tcW w:w="9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241A5A3F" w14:textId="77777777">
            <w:pPr>
              <w:jc w:val="center"/>
              <w:rPr>
                <w:color w:val="000000"/>
                <w:lang w:eastAsia="en-GB"/>
              </w:rPr>
            </w:pPr>
            <w:r w:rsidRPr="00B7014C">
              <w:rPr>
                <w:color w:val="000000"/>
                <w:lang w:eastAsia="en-GB"/>
              </w:rPr>
              <w:t>15,732</w:t>
            </w:r>
          </w:p>
        </w:tc>
        <w:tc>
          <w:tcPr>
            <w:tcW w:w="10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2204E979" w14:textId="77777777">
            <w:pPr>
              <w:jc w:val="center"/>
              <w:rPr>
                <w:color w:val="000000"/>
                <w:lang w:eastAsia="en-GB"/>
              </w:rPr>
            </w:pPr>
            <w:r w:rsidRPr="00B7014C">
              <w:rPr>
                <w:color w:val="000000"/>
                <w:lang w:eastAsia="en-GB"/>
              </w:rPr>
              <w:t>14,840</w:t>
            </w:r>
          </w:p>
        </w:tc>
        <w:tc>
          <w:tcPr>
            <w:tcW w:w="2605" w:type="dxa"/>
            <w:tcBorders>
              <w:top w:val="nil"/>
              <w:left w:val="nil"/>
              <w:bottom w:val="single" w:color="auto" w:sz="4" w:space="0"/>
              <w:right w:val="single" w:color="auto" w:sz="4" w:space="0"/>
            </w:tcBorders>
            <w:shd w:val="clear" w:color="auto" w:fill="auto"/>
            <w:noWrap/>
            <w:vAlign w:val="center"/>
            <w:hideMark/>
          </w:tcPr>
          <w:p w:rsidRPr="00B7014C" w:rsidR="00C15C1F" w:rsidP="00C15C1F" w:rsidRDefault="00C15C1F" w14:paraId="317D7E7B" w14:textId="77777777">
            <w:pPr>
              <w:jc w:val="center"/>
              <w:rPr>
                <w:color w:val="000000"/>
                <w:lang w:eastAsia="en-GB"/>
              </w:rPr>
            </w:pPr>
            <w:r w:rsidRPr="00B7014C">
              <w:rPr>
                <w:color w:val="000000"/>
                <w:lang w:eastAsia="en-GB"/>
              </w:rPr>
              <w:t>-2,905</w:t>
            </w:r>
          </w:p>
        </w:tc>
        <w:tc>
          <w:tcPr>
            <w:tcW w:w="2685"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3669FF03" w14:textId="77777777">
            <w:pPr>
              <w:jc w:val="center"/>
              <w:rPr>
                <w:color w:val="000000"/>
                <w:lang w:eastAsia="en-GB"/>
              </w:rPr>
            </w:pPr>
            <w:r w:rsidRPr="00B7014C">
              <w:rPr>
                <w:color w:val="000000"/>
                <w:lang w:eastAsia="en-GB"/>
              </w:rPr>
              <w:t>-16.4%</w:t>
            </w:r>
          </w:p>
        </w:tc>
      </w:tr>
      <w:tr w:rsidRPr="00B7014C" w:rsidR="00C15C1F" w:rsidTr="00C15C1F" w14:paraId="3831D2B5" w14:textId="77777777">
        <w:trPr>
          <w:trHeight w:val="300"/>
        </w:trPr>
        <w:tc>
          <w:tcPr>
            <w:tcW w:w="1460" w:type="dxa"/>
            <w:tcBorders>
              <w:top w:val="nil"/>
              <w:left w:val="single" w:color="auto" w:sz="4" w:space="0"/>
              <w:bottom w:val="single" w:color="auto" w:sz="4" w:space="0"/>
              <w:right w:val="single" w:color="auto" w:sz="4" w:space="0"/>
            </w:tcBorders>
            <w:shd w:val="clear" w:color="auto" w:fill="auto"/>
            <w:vAlign w:val="center"/>
            <w:hideMark/>
          </w:tcPr>
          <w:p w:rsidRPr="00B7014C" w:rsidR="00C15C1F" w:rsidP="00C15C1F" w:rsidRDefault="00C15C1F" w14:paraId="24DD42B8" w14:textId="77777777">
            <w:pPr>
              <w:rPr>
                <w:color w:val="000000"/>
                <w:lang w:eastAsia="en-GB"/>
              </w:rPr>
            </w:pPr>
            <w:r w:rsidRPr="00B7014C">
              <w:rPr>
                <w:color w:val="000000"/>
                <w:lang w:eastAsia="en-GB"/>
              </w:rPr>
              <w:t>0-9</w:t>
            </w:r>
          </w:p>
        </w:tc>
        <w:tc>
          <w:tcPr>
            <w:tcW w:w="9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57555A3E" w14:textId="77777777">
            <w:pPr>
              <w:jc w:val="center"/>
              <w:rPr>
                <w:color w:val="000000"/>
                <w:lang w:eastAsia="en-GB"/>
              </w:rPr>
            </w:pPr>
            <w:r w:rsidRPr="00B7014C">
              <w:rPr>
                <w:color w:val="000000"/>
                <w:lang w:eastAsia="en-GB"/>
              </w:rPr>
              <w:t>16,783</w:t>
            </w:r>
          </w:p>
        </w:tc>
        <w:tc>
          <w:tcPr>
            <w:tcW w:w="9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0073EEB8" w14:textId="77777777">
            <w:pPr>
              <w:jc w:val="center"/>
              <w:rPr>
                <w:color w:val="000000"/>
                <w:lang w:eastAsia="en-GB"/>
              </w:rPr>
            </w:pPr>
            <w:r w:rsidRPr="00B7014C">
              <w:rPr>
                <w:color w:val="000000"/>
                <w:lang w:eastAsia="en-GB"/>
              </w:rPr>
              <w:t>16,919</w:t>
            </w:r>
          </w:p>
        </w:tc>
        <w:tc>
          <w:tcPr>
            <w:tcW w:w="10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7A99B56C" w14:textId="77777777">
            <w:pPr>
              <w:jc w:val="center"/>
              <w:rPr>
                <w:color w:val="000000"/>
                <w:lang w:eastAsia="en-GB"/>
              </w:rPr>
            </w:pPr>
            <w:r w:rsidRPr="00B7014C">
              <w:rPr>
                <w:color w:val="000000"/>
                <w:lang w:eastAsia="en-GB"/>
              </w:rPr>
              <w:t>15,059</w:t>
            </w:r>
          </w:p>
        </w:tc>
        <w:tc>
          <w:tcPr>
            <w:tcW w:w="2605" w:type="dxa"/>
            <w:tcBorders>
              <w:top w:val="nil"/>
              <w:left w:val="nil"/>
              <w:bottom w:val="single" w:color="auto" w:sz="4" w:space="0"/>
              <w:right w:val="single" w:color="auto" w:sz="4" w:space="0"/>
            </w:tcBorders>
            <w:shd w:val="clear" w:color="auto" w:fill="auto"/>
            <w:noWrap/>
            <w:vAlign w:val="center"/>
            <w:hideMark/>
          </w:tcPr>
          <w:p w:rsidRPr="00B7014C" w:rsidR="00C15C1F" w:rsidP="00C15C1F" w:rsidRDefault="00C15C1F" w14:paraId="75D1F35B" w14:textId="77777777">
            <w:pPr>
              <w:jc w:val="center"/>
              <w:rPr>
                <w:color w:val="000000"/>
                <w:lang w:eastAsia="en-GB"/>
              </w:rPr>
            </w:pPr>
            <w:r w:rsidRPr="00B7014C">
              <w:rPr>
                <w:color w:val="000000"/>
                <w:lang w:eastAsia="en-GB"/>
              </w:rPr>
              <w:t>-1,724</w:t>
            </w:r>
          </w:p>
        </w:tc>
        <w:tc>
          <w:tcPr>
            <w:tcW w:w="2685"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1271F0DC" w14:textId="77777777">
            <w:pPr>
              <w:jc w:val="center"/>
              <w:rPr>
                <w:color w:val="000000"/>
                <w:lang w:eastAsia="en-GB"/>
              </w:rPr>
            </w:pPr>
            <w:r w:rsidRPr="00B7014C">
              <w:rPr>
                <w:color w:val="000000"/>
                <w:lang w:eastAsia="en-GB"/>
              </w:rPr>
              <w:t>-10.3%</w:t>
            </w:r>
          </w:p>
        </w:tc>
      </w:tr>
      <w:tr w:rsidRPr="00B7014C" w:rsidR="00C15C1F" w:rsidTr="00C15C1F" w14:paraId="605917E8" w14:textId="77777777">
        <w:trPr>
          <w:trHeight w:val="300"/>
        </w:trPr>
        <w:tc>
          <w:tcPr>
            <w:tcW w:w="1460" w:type="dxa"/>
            <w:tcBorders>
              <w:top w:val="nil"/>
              <w:left w:val="single" w:color="auto" w:sz="4" w:space="0"/>
              <w:bottom w:val="single" w:color="auto" w:sz="4" w:space="0"/>
              <w:right w:val="single" w:color="auto" w:sz="4" w:space="0"/>
            </w:tcBorders>
            <w:shd w:val="clear" w:color="auto" w:fill="auto"/>
            <w:vAlign w:val="center"/>
            <w:hideMark/>
          </w:tcPr>
          <w:p w:rsidRPr="00B7014C" w:rsidR="00C15C1F" w:rsidP="00C15C1F" w:rsidRDefault="00C15C1F" w14:paraId="6A6D38BA" w14:textId="77777777">
            <w:pPr>
              <w:rPr>
                <w:color w:val="000000"/>
                <w:lang w:eastAsia="en-GB"/>
              </w:rPr>
            </w:pPr>
            <w:r w:rsidRPr="00B7014C">
              <w:rPr>
                <w:color w:val="000000"/>
                <w:lang w:eastAsia="en-GB"/>
              </w:rPr>
              <w:t>10-14</w:t>
            </w:r>
          </w:p>
        </w:tc>
        <w:tc>
          <w:tcPr>
            <w:tcW w:w="9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7B2622A4" w14:textId="77777777">
            <w:pPr>
              <w:jc w:val="center"/>
              <w:rPr>
                <w:color w:val="000000"/>
                <w:lang w:eastAsia="en-GB"/>
              </w:rPr>
            </w:pPr>
            <w:r w:rsidRPr="00B7014C">
              <w:rPr>
                <w:color w:val="000000"/>
                <w:lang w:eastAsia="en-GB"/>
              </w:rPr>
              <w:t>15,080</w:t>
            </w:r>
          </w:p>
        </w:tc>
        <w:tc>
          <w:tcPr>
            <w:tcW w:w="9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010BDD13" w14:textId="77777777">
            <w:pPr>
              <w:jc w:val="center"/>
              <w:rPr>
                <w:color w:val="000000"/>
                <w:lang w:eastAsia="en-GB"/>
              </w:rPr>
            </w:pPr>
            <w:r w:rsidRPr="00B7014C">
              <w:rPr>
                <w:color w:val="000000"/>
                <w:lang w:eastAsia="en-GB"/>
              </w:rPr>
              <w:t>16,417</w:t>
            </w:r>
          </w:p>
        </w:tc>
        <w:tc>
          <w:tcPr>
            <w:tcW w:w="10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3F2CE02B" w14:textId="77777777">
            <w:pPr>
              <w:jc w:val="center"/>
              <w:rPr>
                <w:color w:val="000000"/>
                <w:lang w:eastAsia="en-GB"/>
              </w:rPr>
            </w:pPr>
            <w:r w:rsidRPr="00B7014C">
              <w:rPr>
                <w:color w:val="000000"/>
                <w:lang w:eastAsia="en-GB"/>
              </w:rPr>
              <w:t>16,378</w:t>
            </w:r>
          </w:p>
        </w:tc>
        <w:tc>
          <w:tcPr>
            <w:tcW w:w="2605" w:type="dxa"/>
            <w:tcBorders>
              <w:top w:val="nil"/>
              <w:left w:val="nil"/>
              <w:bottom w:val="single" w:color="auto" w:sz="4" w:space="0"/>
              <w:right w:val="single" w:color="auto" w:sz="4" w:space="0"/>
            </w:tcBorders>
            <w:shd w:val="clear" w:color="auto" w:fill="auto"/>
            <w:noWrap/>
            <w:vAlign w:val="center"/>
            <w:hideMark/>
          </w:tcPr>
          <w:p w:rsidRPr="00B7014C" w:rsidR="00C15C1F" w:rsidP="00C15C1F" w:rsidRDefault="00C15C1F" w14:paraId="37A0A94A" w14:textId="77777777">
            <w:pPr>
              <w:jc w:val="center"/>
              <w:rPr>
                <w:color w:val="000000"/>
                <w:lang w:eastAsia="en-GB"/>
              </w:rPr>
            </w:pPr>
            <w:r w:rsidRPr="00B7014C">
              <w:rPr>
                <w:color w:val="000000"/>
                <w:lang w:eastAsia="en-GB"/>
              </w:rPr>
              <w:t>1,298</w:t>
            </w:r>
          </w:p>
        </w:tc>
        <w:tc>
          <w:tcPr>
            <w:tcW w:w="2685"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298B4EC1" w14:textId="77777777">
            <w:pPr>
              <w:jc w:val="center"/>
              <w:rPr>
                <w:color w:val="000000"/>
                <w:lang w:eastAsia="en-GB"/>
              </w:rPr>
            </w:pPr>
            <w:r w:rsidRPr="00B7014C">
              <w:rPr>
                <w:color w:val="000000"/>
                <w:lang w:eastAsia="en-GB"/>
              </w:rPr>
              <w:t>8.6%</w:t>
            </w:r>
          </w:p>
        </w:tc>
      </w:tr>
      <w:tr w:rsidRPr="00B7014C" w:rsidR="00C15C1F" w:rsidTr="00C15C1F" w14:paraId="79914A92" w14:textId="77777777">
        <w:trPr>
          <w:trHeight w:val="300"/>
        </w:trPr>
        <w:tc>
          <w:tcPr>
            <w:tcW w:w="1460" w:type="dxa"/>
            <w:tcBorders>
              <w:top w:val="nil"/>
              <w:left w:val="single" w:color="auto" w:sz="4" w:space="0"/>
              <w:bottom w:val="single" w:color="auto" w:sz="4" w:space="0"/>
              <w:right w:val="single" w:color="auto" w:sz="4" w:space="0"/>
            </w:tcBorders>
            <w:shd w:val="clear" w:color="auto" w:fill="auto"/>
            <w:noWrap/>
            <w:vAlign w:val="center"/>
            <w:hideMark/>
          </w:tcPr>
          <w:p w:rsidRPr="00B7014C" w:rsidR="00C15C1F" w:rsidP="00C15C1F" w:rsidRDefault="00C15C1F" w14:paraId="54F6F84C" w14:textId="77777777">
            <w:pPr>
              <w:rPr>
                <w:color w:val="000000"/>
                <w:lang w:eastAsia="en-GB"/>
              </w:rPr>
            </w:pPr>
            <w:r w:rsidRPr="00B7014C">
              <w:rPr>
                <w:color w:val="000000"/>
                <w:lang w:eastAsia="en-GB"/>
              </w:rPr>
              <w:t>15-19</w:t>
            </w:r>
          </w:p>
        </w:tc>
        <w:tc>
          <w:tcPr>
            <w:tcW w:w="960" w:type="dxa"/>
            <w:tcBorders>
              <w:top w:val="nil"/>
              <w:left w:val="nil"/>
              <w:bottom w:val="single" w:color="auto" w:sz="4" w:space="0"/>
              <w:right w:val="single" w:color="auto" w:sz="4" w:space="0"/>
            </w:tcBorders>
            <w:shd w:val="clear" w:color="auto" w:fill="auto"/>
            <w:noWrap/>
            <w:vAlign w:val="center"/>
            <w:hideMark/>
          </w:tcPr>
          <w:p w:rsidRPr="00B7014C" w:rsidR="00C15C1F" w:rsidP="00C15C1F" w:rsidRDefault="00C15C1F" w14:paraId="21A04D5C" w14:textId="77777777">
            <w:pPr>
              <w:jc w:val="center"/>
              <w:rPr>
                <w:color w:val="000000"/>
                <w:lang w:eastAsia="en-GB"/>
              </w:rPr>
            </w:pPr>
            <w:r w:rsidRPr="00B7014C">
              <w:rPr>
                <w:color w:val="000000"/>
                <w:lang w:eastAsia="en-GB"/>
              </w:rPr>
              <w:t>13,767</w:t>
            </w:r>
          </w:p>
        </w:tc>
        <w:tc>
          <w:tcPr>
            <w:tcW w:w="960" w:type="dxa"/>
            <w:tcBorders>
              <w:top w:val="nil"/>
              <w:left w:val="nil"/>
              <w:bottom w:val="single" w:color="auto" w:sz="4" w:space="0"/>
              <w:right w:val="single" w:color="auto" w:sz="4" w:space="0"/>
            </w:tcBorders>
            <w:shd w:val="clear" w:color="auto" w:fill="auto"/>
            <w:noWrap/>
            <w:vAlign w:val="center"/>
            <w:hideMark/>
          </w:tcPr>
          <w:p w:rsidRPr="00B7014C" w:rsidR="00C15C1F" w:rsidP="00C15C1F" w:rsidRDefault="00C15C1F" w14:paraId="1DC47C6B" w14:textId="77777777">
            <w:pPr>
              <w:jc w:val="center"/>
              <w:rPr>
                <w:color w:val="000000"/>
                <w:lang w:eastAsia="en-GB"/>
              </w:rPr>
            </w:pPr>
            <w:r w:rsidRPr="00B7014C">
              <w:rPr>
                <w:color w:val="000000"/>
                <w:lang w:eastAsia="en-GB"/>
              </w:rPr>
              <w:t>13981</w:t>
            </w:r>
          </w:p>
        </w:tc>
        <w:tc>
          <w:tcPr>
            <w:tcW w:w="1060" w:type="dxa"/>
            <w:tcBorders>
              <w:top w:val="nil"/>
              <w:left w:val="nil"/>
              <w:bottom w:val="single" w:color="auto" w:sz="4" w:space="0"/>
              <w:right w:val="single" w:color="auto" w:sz="4" w:space="0"/>
            </w:tcBorders>
            <w:shd w:val="clear" w:color="auto" w:fill="auto"/>
            <w:noWrap/>
            <w:vAlign w:val="center"/>
            <w:hideMark/>
          </w:tcPr>
          <w:p w:rsidRPr="00B7014C" w:rsidR="00C15C1F" w:rsidP="00C15C1F" w:rsidRDefault="00C15C1F" w14:paraId="15E5DEFA" w14:textId="77777777">
            <w:pPr>
              <w:jc w:val="center"/>
              <w:rPr>
                <w:color w:val="000000"/>
                <w:lang w:eastAsia="en-GB"/>
              </w:rPr>
            </w:pPr>
            <w:r w:rsidRPr="00B7014C">
              <w:rPr>
                <w:color w:val="000000"/>
                <w:lang w:eastAsia="en-GB"/>
              </w:rPr>
              <w:t>15,142</w:t>
            </w:r>
          </w:p>
        </w:tc>
        <w:tc>
          <w:tcPr>
            <w:tcW w:w="2605" w:type="dxa"/>
            <w:tcBorders>
              <w:top w:val="nil"/>
              <w:left w:val="nil"/>
              <w:bottom w:val="single" w:color="auto" w:sz="4" w:space="0"/>
              <w:right w:val="single" w:color="auto" w:sz="4" w:space="0"/>
            </w:tcBorders>
            <w:shd w:val="clear" w:color="auto" w:fill="auto"/>
            <w:noWrap/>
            <w:vAlign w:val="center"/>
            <w:hideMark/>
          </w:tcPr>
          <w:p w:rsidRPr="00B7014C" w:rsidR="00C15C1F" w:rsidP="00C15C1F" w:rsidRDefault="00C15C1F" w14:paraId="2EA7E8F3" w14:textId="77777777">
            <w:pPr>
              <w:jc w:val="center"/>
              <w:rPr>
                <w:color w:val="000000"/>
                <w:lang w:eastAsia="en-GB"/>
              </w:rPr>
            </w:pPr>
            <w:r w:rsidRPr="00B7014C">
              <w:rPr>
                <w:color w:val="000000"/>
                <w:lang w:eastAsia="en-GB"/>
              </w:rPr>
              <w:t>1,375</w:t>
            </w:r>
          </w:p>
        </w:tc>
        <w:tc>
          <w:tcPr>
            <w:tcW w:w="2685"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7AA07ABB" w14:textId="77777777">
            <w:pPr>
              <w:jc w:val="center"/>
              <w:rPr>
                <w:color w:val="000000"/>
                <w:lang w:eastAsia="en-GB"/>
              </w:rPr>
            </w:pPr>
            <w:r w:rsidRPr="00B7014C">
              <w:rPr>
                <w:color w:val="000000"/>
                <w:lang w:eastAsia="en-GB"/>
              </w:rPr>
              <w:t>10.0%</w:t>
            </w:r>
          </w:p>
        </w:tc>
      </w:tr>
      <w:tr w:rsidRPr="00B7014C" w:rsidR="00C15C1F" w:rsidTr="00C15C1F" w14:paraId="0FE0351B" w14:textId="77777777">
        <w:trPr>
          <w:trHeight w:val="300"/>
        </w:trPr>
        <w:tc>
          <w:tcPr>
            <w:tcW w:w="1460" w:type="dxa"/>
            <w:tcBorders>
              <w:top w:val="nil"/>
              <w:left w:val="single" w:color="auto" w:sz="4" w:space="0"/>
              <w:bottom w:val="single" w:color="auto" w:sz="4" w:space="0"/>
              <w:right w:val="single" w:color="auto" w:sz="4" w:space="0"/>
            </w:tcBorders>
            <w:shd w:val="clear" w:color="auto" w:fill="auto"/>
            <w:vAlign w:val="center"/>
            <w:hideMark/>
          </w:tcPr>
          <w:p w:rsidRPr="00B7014C" w:rsidR="00C15C1F" w:rsidP="00C15C1F" w:rsidRDefault="00C15C1F" w14:paraId="55E6BFCB" w14:textId="77777777">
            <w:pPr>
              <w:rPr>
                <w:color w:val="000000"/>
                <w:lang w:eastAsia="en-GB"/>
              </w:rPr>
            </w:pPr>
            <w:r w:rsidRPr="00B7014C">
              <w:rPr>
                <w:color w:val="000000"/>
                <w:lang w:eastAsia="en-GB"/>
              </w:rPr>
              <w:t>20-24</w:t>
            </w:r>
          </w:p>
        </w:tc>
        <w:tc>
          <w:tcPr>
            <w:tcW w:w="9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1058B939" w14:textId="77777777">
            <w:pPr>
              <w:jc w:val="center"/>
              <w:rPr>
                <w:color w:val="000000"/>
                <w:lang w:eastAsia="en-GB"/>
              </w:rPr>
            </w:pPr>
            <w:r w:rsidRPr="00B7014C">
              <w:rPr>
                <w:color w:val="000000"/>
                <w:lang w:eastAsia="en-GB"/>
              </w:rPr>
              <w:t>13,528</w:t>
            </w:r>
          </w:p>
        </w:tc>
        <w:tc>
          <w:tcPr>
            <w:tcW w:w="9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36C67774" w14:textId="77777777">
            <w:pPr>
              <w:jc w:val="center"/>
              <w:rPr>
                <w:color w:val="000000"/>
                <w:lang w:eastAsia="en-GB"/>
              </w:rPr>
            </w:pPr>
            <w:r w:rsidRPr="00B7014C">
              <w:rPr>
                <w:color w:val="000000"/>
                <w:lang w:eastAsia="en-GB"/>
              </w:rPr>
              <w:t>11,880</w:t>
            </w:r>
          </w:p>
        </w:tc>
        <w:tc>
          <w:tcPr>
            <w:tcW w:w="1060"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76E17C5F" w14:textId="77777777">
            <w:pPr>
              <w:jc w:val="center"/>
              <w:rPr>
                <w:color w:val="000000"/>
                <w:lang w:eastAsia="en-GB"/>
              </w:rPr>
            </w:pPr>
            <w:r w:rsidRPr="00B7014C">
              <w:rPr>
                <w:color w:val="000000"/>
                <w:lang w:eastAsia="en-GB"/>
              </w:rPr>
              <w:t>11,710</w:t>
            </w:r>
          </w:p>
        </w:tc>
        <w:tc>
          <w:tcPr>
            <w:tcW w:w="2605" w:type="dxa"/>
            <w:tcBorders>
              <w:top w:val="nil"/>
              <w:left w:val="nil"/>
              <w:bottom w:val="single" w:color="auto" w:sz="4" w:space="0"/>
              <w:right w:val="single" w:color="auto" w:sz="4" w:space="0"/>
            </w:tcBorders>
            <w:shd w:val="clear" w:color="auto" w:fill="auto"/>
            <w:noWrap/>
            <w:vAlign w:val="center"/>
            <w:hideMark/>
          </w:tcPr>
          <w:p w:rsidRPr="00B7014C" w:rsidR="00C15C1F" w:rsidP="00C15C1F" w:rsidRDefault="00C15C1F" w14:paraId="436D438B" w14:textId="77777777">
            <w:pPr>
              <w:jc w:val="center"/>
              <w:rPr>
                <w:color w:val="000000"/>
                <w:lang w:eastAsia="en-GB"/>
              </w:rPr>
            </w:pPr>
            <w:r w:rsidRPr="00B7014C">
              <w:rPr>
                <w:color w:val="000000"/>
                <w:lang w:eastAsia="en-GB"/>
              </w:rPr>
              <w:t>-1,818</w:t>
            </w:r>
          </w:p>
        </w:tc>
        <w:tc>
          <w:tcPr>
            <w:tcW w:w="2685" w:type="dxa"/>
            <w:tcBorders>
              <w:top w:val="nil"/>
              <w:left w:val="nil"/>
              <w:bottom w:val="single" w:color="auto" w:sz="4" w:space="0"/>
              <w:right w:val="single" w:color="auto" w:sz="4" w:space="0"/>
            </w:tcBorders>
            <w:shd w:val="clear" w:color="auto" w:fill="auto"/>
            <w:vAlign w:val="center"/>
            <w:hideMark/>
          </w:tcPr>
          <w:p w:rsidRPr="00B7014C" w:rsidR="00C15C1F" w:rsidP="00C15C1F" w:rsidRDefault="00C15C1F" w14:paraId="51C50F13" w14:textId="77777777">
            <w:pPr>
              <w:jc w:val="center"/>
              <w:rPr>
                <w:color w:val="000000"/>
                <w:lang w:eastAsia="en-GB"/>
              </w:rPr>
            </w:pPr>
            <w:r w:rsidRPr="00B7014C">
              <w:rPr>
                <w:color w:val="000000"/>
                <w:lang w:eastAsia="en-GB"/>
              </w:rPr>
              <w:t>-13.4%</w:t>
            </w:r>
          </w:p>
        </w:tc>
      </w:tr>
    </w:tbl>
    <w:p w:rsidRPr="00B7014C" w:rsidR="00FC4B9D" w:rsidP="00A16979" w:rsidRDefault="00BF7B0E" w14:paraId="72AA706A" w14:textId="3D69262E">
      <w:pPr>
        <w:rPr>
          <w:sz w:val="20"/>
          <w:szCs w:val="20"/>
        </w:rPr>
      </w:pPr>
      <w:r w:rsidRPr="00B7014C">
        <w:rPr>
          <w:sz w:val="20"/>
          <w:szCs w:val="20"/>
        </w:rPr>
        <w:t>Source: 2018 SNPP table2</w:t>
      </w:r>
    </w:p>
    <w:p w:rsidRPr="00B7014C" w:rsidR="00FC4B9D" w:rsidP="00A16979" w:rsidRDefault="00FC4B9D" w14:paraId="0FA779EA" w14:textId="77777777"/>
    <w:p w:rsidRPr="00B7014C" w:rsidR="00222112" w:rsidRDefault="00222112" w14:paraId="53D0F6F2" w14:textId="77777777">
      <w:pPr>
        <w:rPr>
          <w:b/>
        </w:rPr>
      </w:pPr>
      <w:r w:rsidRPr="00B7014C">
        <w:rPr>
          <w:b/>
        </w:rPr>
        <w:br w:type="page"/>
      </w:r>
    </w:p>
    <w:p w:rsidRPr="00B7014C" w:rsidR="005F44BF" w:rsidP="00A16979" w:rsidRDefault="005F44BF" w14:paraId="273B970C" w14:textId="5F45DB90">
      <w:pPr>
        <w:rPr>
          <w:b/>
        </w:rPr>
      </w:pPr>
      <w:r w:rsidRPr="00B7014C">
        <w:rPr>
          <w:b/>
        </w:rPr>
        <w:lastRenderedPageBreak/>
        <w:t>GLA Borough Preferred Option</w:t>
      </w:r>
      <w:r w:rsidRPr="00B7014C" w:rsidR="00F76EA4">
        <w:rPr>
          <w:b/>
        </w:rPr>
        <w:t xml:space="preserve"> Population Projections</w:t>
      </w:r>
    </w:p>
    <w:p w:rsidRPr="00B7014C" w:rsidR="00E30332" w:rsidP="00DD04DB" w:rsidRDefault="007C5CA7" w14:paraId="799C2A8F" w14:textId="5EB0794A">
      <w:pPr>
        <w:pStyle w:val="Default"/>
        <w:rPr>
          <w:rFonts w:ascii="Arial" w:hAnsi="Arial" w:cs="Arial"/>
          <w:color w:val="333333"/>
        </w:rPr>
      </w:pPr>
      <w:r w:rsidRPr="00B7014C">
        <w:rPr>
          <w:rFonts w:ascii="Arial" w:hAnsi="Arial" w:cs="Arial"/>
          <w:color w:val="333333"/>
          <w:shd w:val="clear" w:color="auto" w:fill="FFFFFF"/>
        </w:rPr>
        <w:t>The Borough Preferred Option (</w:t>
      </w:r>
      <w:proofErr w:type="spellStart"/>
      <w:r w:rsidRPr="00B7014C">
        <w:rPr>
          <w:rFonts w:ascii="Arial" w:hAnsi="Arial" w:cs="Arial"/>
          <w:color w:val="333333"/>
          <w:shd w:val="clear" w:color="auto" w:fill="FFFFFF"/>
        </w:rPr>
        <w:t>BPO</w:t>
      </w:r>
      <w:proofErr w:type="spellEnd"/>
      <w:r w:rsidRPr="00B7014C">
        <w:rPr>
          <w:rFonts w:ascii="Arial" w:hAnsi="Arial" w:cs="Arial"/>
          <w:color w:val="333333"/>
          <w:shd w:val="clear" w:color="auto" w:fill="FFFFFF"/>
        </w:rPr>
        <w:t>) projections are a special set of housing-led population projections produced by the GLA for London local authorities and based on a housing development trajectory specified by each borough for this specific purpose.</w:t>
      </w:r>
      <w:r w:rsidRPr="00B7014C" w:rsidR="00DD04DB">
        <w:rPr>
          <w:rFonts w:ascii="Arial" w:hAnsi="Arial" w:cs="Arial"/>
          <w:color w:val="333333"/>
          <w:shd w:val="clear" w:color="auto" w:fill="FFFFFF"/>
        </w:rPr>
        <w:t xml:space="preserve">  </w:t>
      </w:r>
      <w:r w:rsidRPr="00B7014C" w:rsidR="00E30332">
        <w:rPr>
          <w:rFonts w:ascii="Arial" w:hAnsi="Arial" w:cs="Arial"/>
          <w:color w:val="333333"/>
        </w:rPr>
        <w:t xml:space="preserve">The </w:t>
      </w:r>
      <w:proofErr w:type="spellStart"/>
      <w:r w:rsidRPr="00B7014C" w:rsidR="00E30332">
        <w:rPr>
          <w:rFonts w:ascii="Arial" w:hAnsi="Arial" w:cs="Arial"/>
          <w:color w:val="333333"/>
        </w:rPr>
        <w:t>BPO</w:t>
      </w:r>
      <w:proofErr w:type="spellEnd"/>
      <w:r w:rsidRPr="00B7014C" w:rsidR="00E30332">
        <w:rPr>
          <w:rFonts w:ascii="Arial" w:hAnsi="Arial" w:cs="Arial"/>
          <w:color w:val="333333"/>
        </w:rPr>
        <w:t xml:space="preserve"> projections use the GLA housing-led and small area models to produce ward-level population projections.</w:t>
      </w:r>
      <w:r w:rsidRPr="00B7014C" w:rsidR="00DD04DB">
        <w:rPr>
          <w:rFonts w:ascii="Arial" w:hAnsi="Arial" w:cs="Arial"/>
          <w:color w:val="333333"/>
        </w:rPr>
        <w:t xml:space="preserve">  </w:t>
      </w:r>
      <w:r w:rsidRPr="00B7014C" w:rsidR="00E30332">
        <w:rPr>
          <w:rFonts w:ascii="Arial" w:hAnsi="Arial" w:cs="Arial"/>
          <w:color w:val="333333"/>
        </w:rPr>
        <w:t>The model operates by calculating a population based solely on trends and then separately one based on converting available dwelling stock into population through the application of average household size (AHS). These two populations are then reconciled in the model to produce a final population which accounts for both current trends and relative changes in housing availability.</w:t>
      </w:r>
    </w:p>
    <w:p w:rsidRPr="00B7014C" w:rsidR="00DD04DB" w:rsidP="00DD04DB" w:rsidRDefault="00DD04DB" w14:paraId="3329F71B" w14:textId="77777777">
      <w:pPr>
        <w:pStyle w:val="Default"/>
        <w:rPr>
          <w:rFonts w:ascii="Arial" w:hAnsi="Arial" w:cs="Arial"/>
          <w:color w:val="333333"/>
        </w:rPr>
      </w:pPr>
    </w:p>
    <w:p w:rsidRPr="00B7014C" w:rsidR="00C84F77" w:rsidP="00DF313C" w:rsidRDefault="00B73345" w14:paraId="6458F2F3" w14:textId="7286BE4D">
      <w:pPr>
        <w:rPr>
          <w:color w:val="333333"/>
          <w:shd w:val="clear" w:color="auto" w:fill="FFFFFF"/>
        </w:rPr>
      </w:pPr>
      <w:r w:rsidRPr="00B7014C">
        <w:rPr>
          <w:color w:val="333333"/>
          <w:shd w:val="clear" w:color="auto" w:fill="FFFFFF"/>
        </w:rPr>
        <w:t xml:space="preserve">The 2019-based </w:t>
      </w:r>
      <w:proofErr w:type="spellStart"/>
      <w:r w:rsidRPr="00B7014C">
        <w:rPr>
          <w:color w:val="333333"/>
          <w:shd w:val="clear" w:color="auto" w:fill="FFFFFF"/>
        </w:rPr>
        <w:t>BPO</w:t>
      </w:r>
      <w:proofErr w:type="spellEnd"/>
      <w:r w:rsidRPr="00B7014C">
        <w:rPr>
          <w:color w:val="333333"/>
          <w:shd w:val="clear" w:color="auto" w:fill="FFFFFF"/>
        </w:rPr>
        <w:t xml:space="preserve"> projections comprise 3 scenarios projections:</w:t>
      </w:r>
    </w:p>
    <w:p w:rsidRPr="00B7014C" w:rsidR="00B73345" w:rsidP="00DF313C" w:rsidRDefault="00B73345" w14:paraId="363F8B15" w14:textId="77777777"/>
    <w:p w:rsidRPr="00B7014C" w:rsidR="00C81013" w:rsidP="00DF313C" w:rsidRDefault="00C84F77" w14:paraId="547C6F6D" w14:textId="77777777">
      <w:r w:rsidRPr="00B7014C">
        <w:t xml:space="preserve">- </w:t>
      </w:r>
      <w:r w:rsidRPr="00B7014C">
        <w:rPr>
          <w:b/>
          <w:bCs/>
        </w:rPr>
        <w:t>Scenario 1:</w:t>
      </w:r>
      <w:r w:rsidRPr="00B7014C">
        <w:t xml:space="preserve"> standard migration assumptions for the </w:t>
      </w:r>
      <w:proofErr w:type="spellStart"/>
      <w:r w:rsidRPr="00B7014C">
        <w:t>covid</w:t>
      </w:r>
      <w:proofErr w:type="spellEnd"/>
      <w:r w:rsidRPr="00B7014C">
        <w:t xml:space="preserve"> period, high domestic out-migration assumptions in the longer-term. This can be considered the standard scenario and is the default option for the input into the </w:t>
      </w:r>
      <w:proofErr w:type="spellStart"/>
      <w:r w:rsidRPr="00B7014C">
        <w:t>SRP</w:t>
      </w:r>
      <w:proofErr w:type="spellEnd"/>
      <w:r w:rsidRPr="00B7014C">
        <w:t xml:space="preserve"> process. </w:t>
      </w:r>
    </w:p>
    <w:p w:rsidRPr="00B7014C" w:rsidR="00C81013" w:rsidP="00DF313C" w:rsidRDefault="00C81013" w14:paraId="4E7772F0" w14:textId="77777777"/>
    <w:p w:rsidRPr="00B7014C" w:rsidR="00C81013" w:rsidP="00DF313C" w:rsidRDefault="00C84F77" w14:paraId="12A5BA05" w14:textId="77777777">
      <w:r w:rsidRPr="00B7014C">
        <w:t xml:space="preserve">- </w:t>
      </w:r>
      <w:r w:rsidRPr="00B7014C">
        <w:rPr>
          <w:b/>
          <w:bCs/>
        </w:rPr>
        <w:t>Scenario 2:</w:t>
      </w:r>
      <w:r w:rsidRPr="00B7014C">
        <w:t xml:space="preserve"> standard migration assumptions for the </w:t>
      </w:r>
      <w:proofErr w:type="spellStart"/>
      <w:r w:rsidRPr="00B7014C">
        <w:t>covid</w:t>
      </w:r>
      <w:proofErr w:type="spellEnd"/>
      <w:r w:rsidRPr="00B7014C">
        <w:t xml:space="preserve"> period, lower domestic out-migration assumptions in the longer-term. This is a high long-term population scenario. </w:t>
      </w:r>
    </w:p>
    <w:p w:rsidRPr="00B7014C" w:rsidR="00C81013" w:rsidP="00DF313C" w:rsidRDefault="00C81013" w14:paraId="3612D6AA" w14:textId="77777777"/>
    <w:p w:rsidRPr="00B7014C" w:rsidR="00DF313C" w:rsidP="00DF313C" w:rsidRDefault="00C84F77" w14:paraId="421FAF5C" w14:textId="7ADE1D31">
      <w:r w:rsidRPr="00B7014C">
        <w:t xml:space="preserve">- </w:t>
      </w:r>
      <w:r w:rsidRPr="00B7014C">
        <w:rPr>
          <w:b/>
          <w:bCs/>
        </w:rPr>
        <w:t>Scenario 3:</w:t>
      </w:r>
      <w:r w:rsidRPr="00B7014C">
        <w:t xml:space="preserve"> high out migration assumptions for the </w:t>
      </w:r>
      <w:proofErr w:type="spellStart"/>
      <w:r w:rsidRPr="00B7014C">
        <w:t>covid</w:t>
      </w:r>
      <w:proofErr w:type="spellEnd"/>
      <w:r w:rsidRPr="00B7014C">
        <w:t xml:space="preserve"> period, high domestic out-migration assumptions in the longer-term. This is a low short-term population scenario.</w:t>
      </w:r>
    </w:p>
    <w:p w:rsidRPr="00B7014C" w:rsidR="00C84F77" w:rsidP="00DF313C" w:rsidRDefault="00C84F77" w14:paraId="308A5A19" w14:textId="77777777"/>
    <w:p w:rsidRPr="00B7014C" w:rsidR="00DF313C" w:rsidP="00DF313C" w:rsidRDefault="00DD04DB" w14:paraId="54973BCE" w14:textId="7465379C">
      <w:r w:rsidRPr="00B7014C">
        <w:t xml:space="preserve">This </w:t>
      </w:r>
      <w:r w:rsidRPr="00B7014C" w:rsidR="00930303">
        <w:t xml:space="preserve">year we have used </w:t>
      </w:r>
      <w:r w:rsidRPr="00B7014C" w:rsidR="00DF313C">
        <w:t xml:space="preserve">the school roll projections that are based on the </w:t>
      </w:r>
      <w:proofErr w:type="spellStart"/>
      <w:r w:rsidRPr="00B7014C" w:rsidR="00F41B41">
        <w:t>BPO</w:t>
      </w:r>
      <w:proofErr w:type="spellEnd"/>
      <w:r w:rsidRPr="00B7014C" w:rsidR="00F41B41">
        <w:t xml:space="preserve"> </w:t>
      </w:r>
      <w:r w:rsidRPr="00B7014C" w:rsidR="008B1C31">
        <w:t xml:space="preserve">Scenario 2 </w:t>
      </w:r>
      <w:r w:rsidRPr="00B7014C" w:rsidR="00DF313C">
        <w:t xml:space="preserve">variant, </w:t>
      </w:r>
      <w:r w:rsidRPr="00B7014C" w:rsidR="008B1C31">
        <w:t xml:space="preserve">in-line with </w:t>
      </w:r>
      <w:r w:rsidRPr="00B7014C" w:rsidR="000B457C">
        <w:t>Demography and Planning areas of the Council.</w:t>
      </w:r>
    </w:p>
    <w:p w:rsidRPr="00B7014C" w:rsidR="00DF313C" w:rsidP="00DF313C" w:rsidRDefault="00DF313C" w14:paraId="48DE3071" w14:textId="77777777"/>
    <w:p w:rsidRPr="00B7014C" w:rsidR="00851042" w:rsidP="00234723" w:rsidRDefault="00DF313C" w14:paraId="63C2BA50" w14:textId="20E84E73">
      <w:r w:rsidRPr="00B7014C">
        <w:t>A summary of the GLA’s 201</w:t>
      </w:r>
      <w:r w:rsidRPr="00B7014C" w:rsidR="00684118">
        <w:t>9</w:t>
      </w:r>
      <w:r w:rsidRPr="00B7014C">
        <w:t xml:space="preserve"> Borough Preferred Option population projections based on the </w:t>
      </w:r>
      <w:r w:rsidRPr="00B7014C" w:rsidR="00684118">
        <w:t xml:space="preserve">scenario 2 </w:t>
      </w:r>
      <w:r w:rsidRPr="00B7014C">
        <w:t>variant for Harrow of 0 to 3 year olds, 4-10 year olds, 11-15 year olds and 16 to 25 year olds is summarised in the chart below.</w:t>
      </w:r>
      <w:r w:rsidRPr="00B7014C" w:rsidR="00851042">
        <w:t xml:space="preserve">  </w:t>
      </w:r>
    </w:p>
    <w:p w:rsidRPr="00B7014C" w:rsidR="00851042" w:rsidP="00A16979" w:rsidRDefault="00851042" w14:paraId="01152D3F" w14:textId="77777777">
      <w:pPr>
        <w:pStyle w:val="Header"/>
      </w:pPr>
    </w:p>
    <w:p w:rsidRPr="00B7014C" w:rsidR="004B737E" w:rsidP="004B737E" w:rsidRDefault="004B737E" w14:paraId="3D0557BC" w14:textId="0C382498">
      <w:pPr>
        <w:pStyle w:val="Header"/>
      </w:pPr>
      <w:r w:rsidRPr="00B7014C">
        <w:t>Chart 1 below shows that between 2011 and 201</w:t>
      </w:r>
      <w:r w:rsidRPr="00B7014C" w:rsidR="00684118">
        <w:t>9</w:t>
      </w:r>
      <w:r w:rsidRPr="00B7014C">
        <w:t>:</w:t>
      </w:r>
    </w:p>
    <w:p w:rsidRPr="00B7014C" w:rsidR="00515FAD" w:rsidP="004B737E" w:rsidRDefault="00515FAD" w14:paraId="60E08EB1" w14:textId="77777777">
      <w:pPr>
        <w:pStyle w:val="Header"/>
      </w:pPr>
    </w:p>
    <w:p w:rsidRPr="00B7014C" w:rsidR="004B737E" w:rsidP="004B737E" w:rsidRDefault="004B737E" w14:paraId="11039A19" w14:textId="75907028">
      <w:pPr>
        <w:pStyle w:val="Header"/>
        <w:numPr>
          <w:ilvl w:val="0"/>
          <w:numId w:val="3"/>
        </w:numPr>
      </w:pPr>
      <w:r w:rsidRPr="00B7014C">
        <w:t xml:space="preserve">The number of 0 to 3 year olds has </w:t>
      </w:r>
      <w:r w:rsidRPr="00B7014C" w:rsidR="002D19B2">
        <w:t xml:space="preserve">fluctuated over the years but overall </w:t>
      </w:r>
      <w:r w:rsidRPr="00B7014C">
        <w:t xml:space="preserve">remained relatively steady.  </w:t>
      </w:r>
    </w:p>
    <w:p w:rsidRPr="00B7014C" w:rsidR="004B737E" w:rsidP="004B737E" w:rsidRDefault="004B737E" w14:paraId="523B598B" w14:textId="01F574D1">
      <w:pPr>
        <w:pStyle w:val="Header"/>
        <w:numPr>
          <w:ilvl w:val="0"/>
          <w:numId w:val="3"/>
        </w:numPr>
      </w:pPr>
      <w:r w:rsidRPr="00B7014C">
        <w:t xml:space="preserve">The number of 4 to 10 year olds have </w:t>
      </w:r>
      <w:r w:rsidRPr="00B7014C" w:rsidR="00392B42">
        <w:t xml:space="preserve">continued to </w:t>
      </w:r>
      <w:r w:rsidRPr="00B7014C">
        <w:t xml:space="preserve">steadily increase.  </w:t>
      </w:r>
    </w:p>
    <w:p w:rsidRPr="00B7014C" w:rsidR="004B737E" w:rsidP="004B737E" w:rsidRDefault="004B737E" w14:paraId="49E706A2" w14:textId="3199675F">
      <w:pPr>
        <w:pStyle w:val="Header"/>
        <w:numPr>
          <w:ilvl w:val="0"/>
          <w:numId w:val="3"/>
        </w:numPr>
      </w:pPr>
      <w:r w:rsidRPr="00B7014C">
        <w:t xml:space="preserve">The number of 11 to 15 year olds </w:t>
      </w:r>
      <w:r w:rsidRPr="00B7014C" w:rsidR="00392B42">
        <w:t xml:space="preserve">was dropping until </w:t>
      </w:r>
      <w:r w:rsidRPr="00B7014C" w:rsidR="00CF5771">
        <w:t>2015, at which point they have started to increase</w:t>
      </w:r>
      <w:r w:rsidRPr="00B7014C">
        <w:t>.</w:t>
      </w:r>
    </w:p>
    <w:p w:rsidRPr="00B7014C" w:rsidR="004B737E" w:rsidP="004B737E" w:rsidRDefault="004B737E" w14:paraId="3EF64639" w14:textId="0A96C4C9">
      <w:pPr>
        <w:pStyle w:val="Header"/>
        <w:numPr>
          <w:ilvl w:val="0"/>
          <w:numId w:val="3"/>
        </w:numPr>
      </w:pPr>
      <w:r w:rsidRPr="00B7014C">
        <w:t xml:space="preserve">The number of 16 to 25 year olds </w:t>
      </w:r>
      <w:r w:rsidRPr="00B7014C" w:rsidR="006922AF">
        <w:t xml:space="preserve">has overall continue to </w:t>
      </w:r>
      <w:r w:rsidRPr="00B7014C">
        <w:t>drop</w:t>
      </w:r>
      <w:r w:rsidRPr="00B7014C" w:rsidR="006922AF">
        <w:t xml:space="preserve"> over the years</w:t>
      </w:r>
      <w:r w:rsidRPr="00B7014C">
        <w:t>.</w:t>
      </w:r>
    </w:p>
    <w:p w:rsidRPr="00B7014C" w:rsidR="004B737E" w:rsidRDefault="004B737E" w14:paraId="46ED6591" w14:textId="4570680A"/>
    <w:tbl>
      <w:tblPr>
        <w:tblW w:w="8586" w:type="dxa"/>
        <w:tblLook w:val="04A0" w:firstRow="1" w:lastRow="0" w:firstColumn="1" w:lastColumn="0" w:noHBand="0" w:noVBand="1"/>
      </w:tblPr>
      <w:tblGrid>
        <w:gridCol w:w="1134"/>
        <w:gridCol w:w="889"/>
        <w:gridCol w:w="889"/>
        <w:gridCol w:w="889"/>
        <w:gridCol w:w="889"/>
        <w:gridCol w:w="889"/>
        <w:gridCol w:w="889"/>
        <w:gridCol w:w="889"/>
        <w:gridCol w:w="889"/>
        <w:gridCol w:w="889"/>
      </w:tblGrid>
      <w:tr w:rsidRPr="00B7014C" w:rsidR="001B7258" w:rsidTr="008D0006" w14:paraId="72EA3229" w14:textId="77777777">
        <w:trPr>
          <w:trHeight w:val="300"/>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7014C" w:rsidR="001B7258" w:rsidP="008D0006" w:rsidRDefault="001B7258" w14:paraId="3722D196" w14:textId="77777777">
            <w:pPr>
              <w:rPr>
                <w:b/>
                <w:bCs/>
                <w:color w:val="000000"/>
                <w:sz w:val="22"/>
                <w:szCs w:val="22"/>
                <w:lang w:eastAsia="en-GB"/>
              </w:rPr>
            </w:pPr>
            <w:r w:rsidRPr="00B7014C">
              <w:rPr>
                <w:b/>
                <w:bCs/>
                <w:color w:val="000000"/>
                <w:sz w:val="22"/>
                <w:szCs w:val="22"/>
                <w:lang w:eastAsia="en-GB"/>
              </w:rPr>
              <w:t>Age</w:t>
            </w:r>
          </w:p>
        </w:tc>
        <w:tc>
          <w:tcPr>
            <w:tcW w:w="828" w:type="dxa"/>
            <w:tcBorders>
              <w:top w:val="single" w:color="auto" w:sz="4" w:space="0"/>
              <w:left w:val="nil"/>
              <w:bottom w:val="single" w:color="auto" w:sz="4" w:space="0"/>
              <w:right w:val="single" w:color="auto" w:sz="4" w:space="0"/>
            </w:tcBorders>
            <w:shd w:val="clear" w:color="auto" w:fill="auto"/>
            <w:noWrap/>
            <w:vAlign w:val="bottom"/>
            <w:hideMark/>
          </w:tcPr>
          <w:p w:rsidRPr="00B7014C" w:rsidR="001B7258" w:rsidP="008D0006" w:rsidRDefault="001B7258" w14:paraId="4DCF477A" w14:textId="77777777">
            <w:pPr>
              <w:jc w:val="center"/>
              <w:rPr>
                <w:b/>
                <w:bCs/>
                <w:color w:val="000000"/>
                <w:sz w:val="22"/>
                <w:szCs w:val="22"/>
                <w:lang w:eastAsia="en-GB"/>
              </w:rPr>
            </w:pPr>
            <w:r w:rsidRPr="00B7014C">
              <w:rPr>
                <w:b/>
                <w:bCs/>
                <w:color w:val="000000"/>
                <w:sz w:val="22"/>
                <w:szCs w:val="22"/>
                <w:lang w:eastAsia="en-GB"/>
              </w:rPr>
              <w:t>2011</w:t>
            </w:r>
          </w:p>
        </w:tc>
        <w:tc>
          <w:tcPr>
            <w:tcW w:w="828" w:type="dxa"/>
            <w:tcBorders>
              <w:top w:val="single" w:color="auto" w:sz="4" w:space="0"/>
              <w:left w:val="nil"/>
              <w:bottom w:val="single" w:color="auto" w:sz="4" w:space="0"/>
              <w:right w:val="single" w:color="auto" w:sz="4" w:space="0"/>
            </w:tcBorders>
            <w:shd w:val="clear" w:color="auto" w:fill="auto"/>
            <w:noWrap/>
            <w:vAlign w:val="bottom"/>
            <w:hideMark/>
          </w:tcPr>
          <w:p w:rsidRPr="00B7014C" w:rsidR="001B7258" w:rsidP="008D0006" w:rsidRDefault="001B7258" w14:paraId="23F5E0F3" w14:textId="77777777">
            <w:pPr>
              <w:jc w:val="center"/>
              <w:rPr>
                <w:b/>
                <w:bCs/>
                <w:color w:val="000000"/>
                <w:sz w:val="22"/>
                <w:szCs w:val="22"/>
                <w:lang w:eastAsia="en-GB"/>
              </w:rPr>
            </w:pPr>
            <w:r w:rsidRPr="00B7014C">
              <w:rPr>
                <w:b/>
                <w:bCs/>
                <w:color w:val="000000"/>
                <w:sz w:val="22"/>
                <w:szCs w:val="22"/>
                <w:lang w:eastAsia="en-GB"/>
              </w:rPr>
              <w:t>2012</w:t>
            </w:r>
          </w:p>
        </w:tc>
        <w:tc>
          <w:tcPr>
            <w:tcW w:w="828" w:type="dxa"/>
            <w:tcBorders>
              <w:top w:val="single" w:color="auto" w:sz="4" w:space="0"/>
              <w:left w:val="nil"/>
              <w:bottom w:val="single" w:color="auto" w:sz="4" w:space="0"/>
              <w:right w:val="single" w:color="auto" w:sz="4" w:space="0"/>
            </w:tcBorders>
            <w:shd w:val="clear" w:color="auto" w:fill="auto"/>
            <w:noWrap/>
            <w:vAlign w:val="bottom"/>
            <w:hideMark/>
          </w:tcPr>
          <w:p w:rsidRPr="00B7014C" w:rsidR="001B7258" w:rsidP="008D0006" w:rsidRDefault="001B7258" w14:paraId="2AC384A6" w14:textId="77777777">
            <w:pPr>
              <w:jc w:val="center"/>
              <w:rPr>
                <w:b/>
                <w:bCs/>
                <w:color w:val="000000"/>
                <w:sz w:val="22"/>
                <w:szCs w:val="22"/>
                <w:lang w:eastAsia="en-GB"/>
              </w:rPr>
            </w:pPr>
            <w:r w:rsidRPr="00B7014C">
              <w:rPr>
                <w:b/>
                <w:bCs/>
                <w:color w:val="000000"/>
                <w:sz w:val="22"/>
                <w:szCs w:val="22"/>
                <w:lang w:eastAsia="en-GB"/>
              </w:rPr>
              <w:t>2013</w:t>
            </w:r>
          </w:p>
        </w:tc>
        <w:tc>
          <w:tcPr>
            <w:tcW w:w="828" w:type="dxa"/>
            <w:tcBorders>
              <w:top w:val="single" w:color="auto" w:sz="4" w:space="0"/>
              <w:left w:val="nil"/>
              <w:bottom w:val="single" w:color="auto" w:sz="4" w:space="0"/>
              <w:right w:val="single" w:color="auto" w:sz="4" w:space="0"/>
            </w:tcBorders>
            <w:shd w:val="clear" w:color="auto" w:fill="auto"/>
            <w:noWrap/>
            <w:vAlign w:val="bottom"/>
            <w:hideMark/>
          </w:tcPr>
          <w:p w:rsidRPr="00B7014C" w:rsidR="001B7258" w:rsidP="008D0006" w:rsidRDefault="001B7258" w14:paraId="29C49AE4" w14:textId="77777777">
            <w:pPr>
              <w:jc w:val="center"/>
              <w:rPr>
                <w:b/>
                <w:bCs/>
                <w:color w:val="000000"/>
                <w:sz w:val="22"/>
                <w:szCs w:val="22"/>
                <w:lang w:eastAsia="en-GB"/>
              </w:rPr>
            </w:pPr>
            <w:r w:rsidRPr="00B7014C">
              <w:rPr>
                <w:b/>
                <w:bCs/>
                <w:color w:val="000000"/>
                <w:sz w:val="22"/>
                <w:szCs w:val="22"/>
                <w:lang w:eastAsia="en-GB"/>
              </w:rPr>
              <w:t>2014</w:t>
            </w:r>
          </w:p>
        </w:tc>
        <w:tc>
          <w:tcPr>
            <w:tcW w:w="828" w:type="dxa"/>
            <w:tcBorders>
              <w:top w:val="single" w:color="auto" w:sz="4" w:space="0"/>
              <w:left w:val="nil"/>
              <w:bottom w:val="single" w:color="auto" w:sz="4" w:space="0"/>
              <w:right w:val="single" w:color="auto" w:sz="4" w:space="0"/>
            </w:tcBorders>
            <w:shd w:val="clear" w:color="auto" w:fill="auto"/>
            <w:noWrap/>
            <w:vAlign w:val="bottom"/>
            <w:hideMark/>
          </w:tcPr>
          <w:p w:rsidRPr="00B7014C" w:rsidR="001B7258" w:rsidP="008D0006" w:rsidRDefault="001B7258" w14:paraId="7676D459" w14:textId="77777777">
            <w:pPr>
              <w:jc w:val="center"/>
              <w:rPr>
                <w:b/>
                <w:bCs/>
                <w:color w:val="000000"/>
                <w:sz w:val="22"/>
                <w:szCs w:val="22"/>
                <w:lang w:eastAsia="en-GB"/>
              </w:rPr>
            </w:pPr>
            <w:r w:rsidRPr="00B7014C">
              <w:rPr>
                <w:b/>
                <w:bCs/>
                <w:color w:val="000000"/>
                <w:sz w:val="22"/>
                <w:szCs w:val="22"/>
                <w:lang w:eastAsia="en-GB"/>
              </w:rPr>
              <w:t>2015</w:t>
            </w:r>
          </w:p>
        </w:tc>
        <w:tc>
          <w:tcPr>
            <w:tcW w:w="828" w:type="dxa"/>
            <w:tcBorders>
              <w:top w:val="single" w:color="auto" w:sz="4" w:space="0"/>
              <w:left w:val="nil"/>
              <w:bottom w:val="single" w:color="auto" w:sz="4" w:space="0"/>
              <w:right w:val="single" w:color="auto" w:sz="4" w:space="0"/>
            </w:tcBorders>
            <w:shd w:val="clear" w:color="auto" w:fill="auto"/>
            <w:noWrap/>
            <w:vAlign w:val="bottom"/>
            <w:hideMark/>
          </w:tcPr>
          <w:p w:rsidRPr="00B7014C" w:rsidR="001B7258" w:rsidP="008D0006" w:rsidRDefault="001B7258" w14:paraId="47BD4B06" w14:textId="77777777">
            <w:pPr>
              <w:jc w:val="center"/>
              <w:rPr>
                <w:b/>
                <w:bCs/>
                <w:color w:val="000000"/>
                <w:sz w:val="22"/>
                <w:szCs w:val="22"/>
                <w:lang w:eastAsia="en-GB"/>
              </w:rPr>
            </w:pPr>
            <w:r w:rsidRPr="00B7014C">
              <w:rPr>
                <w:b/>
                <w:bCs/>
                <w:color w:val="000000"/>
                <w:sz w:val="22"/>
                <w:szCs w:val="22"/>
                <w:lang w:eastAsia="en-GB"/>
              </w:rPr>
              <w:t>2016</w:t>
            </w:r>
          </w:p>
        </w:tc>
        <w:tc>
          <w:tcPr>
            <w:tcW w:w="828" w:type="dxa"/>
            <w:tcBorders>
              <w:top w:val="single" w:color="auto" w:sz="4" w:space="0"/>
              <w:left w:val="nil"/>
              <w:bottom w:val="single" w:color="auto" w:sz="4" w:space="0"/>
              <w:right w:val="single" w:color="auto" w:sz="4" w:space="0"/>
            </w:tcBorders>
            <w:shd w:val="clear" w:color="auto" w:fill="auto"/>
            <w:noWrap/>
            <w:vAlign w:val="bottom"/>
            <w:hideMark/>
          </w:tcPr>
          <w:p w:rsidRPr="00B7014C" w:rsidR="001B7258" w:rsidP="008D0006" w:rsidRDefault="001B7258" w14:paraId="43F40636" w14:textId="77777777">
            <w:pPr>
              <w:jc w:val="center"/>
              <w:rPr>
                <w:b/>
                <w:bCs/>
                <w:color w:val="000000"/>
                <w:sz w:val="22"/>
                <w:szCs w:val="22"/>
                <w:lang w:eastAsia="en-GB"/>
              </w:rPr>
            </w:pPr>
            <w:r w:rsidRPr="00B7014C">
              <w:rPr>
                <w:b/>
                <w:bCs/>
                <w:color w:val="000000"/>
                <w:sz w:val="22"/>
                <w:szCs w:val="22"/>
                <w:lang w:eastAsia="en-GB"/>
              </w:rPr>
              <w:t>2017</w:t>
            </w:r>
          </w:p>
        </w:tc>
        <w:tc>
          <w:tcPr>
            <w:tcW w:w="828" w:type="dxa"/>
            <w:tcBorders>
              <w:top w:val="single" w:color="auto" w:sz="4" w:space="0"/>
              <w:left w:val="nil"/>
              <w:bottom w:val="single" w:color="auto" w:sz="4" w:space="0"/>
              <w:right w:val="single" w:color="auto" w:sz="4" w:space="0"/>
            </w:tcBorders>
            <w:shd w:val="clear" w:color="auto" w:fill="auto"/>
            <w:noWrap/>
            <w:vAlign w:val="bottom"/>
            <w:hideMark/>
          </w:tcPr>
          <w:p w:rsidRPr="00B7014C" w:rsidR="001B7258" w:rsidP="008D0006" w:rsidRDefault="001B7258" w14:paraId="039F2814" w14:textId="77777777">
            <w:pPr>
              <w:jc w:val="center"/>
              <w:rPr>
                <w:b/>
                <w:bCs/>
                <w:color w:val="000000"/>
                <w:sz w:val="22"/>
                <w:szCs w:val="22"/>
                <w:lang w:eastAsia="en-GB"/>
              </w:rPr>
            </w:pPr>
            <w:r w:rsidRPr="00B7014C">
              <w:rPr>
                <w:b/>
                <w:bCs/>
                <w:color w:val="000000"/>
                <w:sz w:val="22"/>
                <w:szCs w:val="22"/>
                <w:lang w:eastAsia="en-GB"/>
              </w:rPr>
              <w:t>2018</w:t>
            </w:r>
          </w:p>
        </w:tc>
        <w:tc>
          <w:tcPr>
            <w:tcW w:w="828" w:type="dxa"/>
            <w:tcBorders>
              <w:top w:val="single" w:color="auto" w:sz="4" w:space="0"/>
              <w:left w:val="nil"/>
              <w:bottom w:val="single" w:color="auto" w:sz="4" w:space="0"/>
              <w:right w:val="single" w:color="auto" w:sz="4" w:space="0"/>
            </w:tcBorders>
            <w:shd w:val="clear" w:color="auto" w:fill="auto"/>
            <w:noWrap/>
            <w:vAlign w:val="bottom"/>
            <w:hideMark/>
          </w:tcPr>
          <w:p w:rsidRPr="00B7014C" w:rsidR="001B7258" w:rsidP="008D0006" w:rsidRDefault="001B7258" w14:paraId="0BD12E4F" w14:textId="77777777">
            <w:pPr>
              <w:jc w:val="center"/>
              <w:rPr>
                <w:b/>
                <w:bCs/>
                <w:color w:val="000000"/>
                <w:sz w:val="22"/>
                <w:szCs w:val="22"/>
                <w:lang w:eastAsia="en-GB"/>
              </w:rPr>
            </w:pPr>
            <w:r w:rsidRPr="00B7014C">
              <w:rPr>
                <w:b/>
                <w:bCs/>
                <w:color w:val="000000"/>
                <w:sz w:val="22"/>
                <w:szCs w:val="22"/>
                <w:lang w:eastAsia="en-GB"/>
              </w:rPr>
              <w:t>2019</w:t>
            </w:r>
          </w:p>
        </w:tc>
      </w:tr>
      <w:tr w:rsidRPr="00B7014C" w:rsidR="001B7258" w:rsidTr="008D0006" w14:paraId="3C041E5F" w14:textId="77777777">
        <w:trPr>
          <w:trHeight w:val="300"/>
        </w:trPr>
        <w:tc>
          <w:tcPr>
            <w:tcW w:w="1134" w:type="dxa"/>
            <w:tcBorders>
              <w:top w:val="nil"/>
              <w:left w:val="single" w:color="auto" w:sz="4" w:space="0"/>
              <w:bottom w:val="single" w:color="auto" w:sz="4" w:space="0"/>
              <w:right w:val="single" w:color="auto" w:sz="4" w:space="0"/>
            </w:tcBorders>
            <w:shd w:val="clear" w:color="auto" w:fill="auto"/>
            <w:noWrap/>
            <w:vAlign w:val="bottom"/>
            <w:hideMark/>
          </w:tcPr>
          <w:p w:rsidRPr="00B7014C" w:rsidR="001B7258" w:rsidP="008D0006" w:rsidRDefault="001B7258" w14:paraId="1D934835" w14:textId="77777777">
            <w:pPr>
              <w:rPr>
                <w:color w:val="000000"/>
                <w:sz w:val="22"/>
                <w:szCs w:val="22"/>
                <w:lang w:eastAsia="en-GB"/>
              </w:rPr>
            </w:pPr>
            <w:r w:rsidRPr="00B7014C">
              <w:rPr>
                <w:color w:val="000000"/>
                <w:sz w:val="22"/>
                <w:szCs w:val="22"/>
                <w:lang w:eastAsia="en-GB"/>
              </w:rPr>
              <w:t>0 to 3</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3645CFBA" w14:textId="7020F26D">
            <w:pPr>
              <w:jc w:val="center"/>
              <w:rPr>
                <w:color w:val="000000"/>
                <w:sz w:val="22"/>
                <w:szCs w:val="22"/>
                <w:lang w:eastAsia="en-GB"/>
              </w:rPr>
            </w:pPr>
            <w:r w:rsidRPr="00B7014C">
              <w:rPr>
                <w:color w:val="000000"/>
                <w:sz w:val="22"/>
                <w:szCs w:val="22"/>
                <w:lang w:eastAsia="en-GB"/>
              </w:rPr>
              <w:t>13,252</w:t>
            </w:r>
          </w:p>
        </w:tc>
        <w:tc>
          <w:tcPr>
            <w:tcW w:w="828" w:type="dxa"/>
            <w:tcBorders>
              <w:top w:val="nil"/>
              <w:left w:val="nil"/>
              <w:bottom w:val="single" w:color="auto" w:sz="4" w:space="0"/>
              <w:right w:val="single" w:color="auto" w:sz="4" w:space="0"/>
            </w:tcBorders>
            <w:shd w:val="clear" w:color="auto" w:fill="auto"/>
            <w:vAlign w:val="bottom"/>
            <w:hideMark/>
          </w:tcPr>
          <w:p w:rsidRPr="00B7014C" w:rsidR="001B7258" w:rsidP="008D0006" w:rsidRDefault="001B7258" w14:paraId="2F3EEE6F" w14:textId="678D51BF">
            <w:pPr>
              <w:jc w:val="center"/>
              <w:rPr>
                <w:color w:val="000000"/>
                <w:sz w:val="22"/>
                <w:szCs w:val="22"/>
                <w:lang w:eastAsia="en-GB"/>
              </w:rPr>
            </w:pPr>
            <w:r w:rsidRPr="00B7014C">
              <w:rPr>
                <w:color w:val="000000"/>
                <w:sz w:val="22"/>
                <w:szCs w:val="22"/>
                <w:lang w:eastAsia="en-GB"/>
              </w:rPr>
              <w:t>13,744</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1C4DE654" w14:textId="67C768D1">
            <w:pPr>
              <w:jc w:val="center"/>
              <w:rPr>
                <w:color w:val="000000"/>
                <w:sz w:val="22"/>
                <w:szCs w:val="22"/>
                <w:lang w:eastAsia="en-GB"/>
              </w:rPr>
            </w:pPr>
            <w:r w:rsidRPr="00B7014C">
              <w:rPr>
                <w:color w:val="000000"/>
                <w:sz w:val="22"/>
                <w:szCs w:val="22"/>
                <w:lang w:eastAsia="en-GB"/>
              </w:rPr>
              <w:t>14,023</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7389DB5C" w14:textId="5961627B">
            <w:pPr>
              <w:jc w:val="center"/>
              <w:rPr>
                <w:color w:val="000000"/>
                <w:sz w:val="22"/>
                <w:szCs w:val="22"/>
                <w:lang w:eastAsia="en-GB"/>
              </w:rPr>
            </w:pPr>
            <w:r w:rsidRPr="00B7014C">
              <w:rPr>
                <w:color w:val="000000"/>
                <w:sz w:val="22"/>
                <w:szCs w:val="22"/>
                <w:lang w:eastAsia="en-GB"/>
              </w:rPr>
              <w:t>14,000</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0AB15721" w14:textId="05732AF3">
            <w:pPr>
              <w:jc w:val="center"/>
              <w:rPr>
                <w:color w:val="000000"/>
                <w:sz w:val="22"/>
                <w:szCs w:val="22"/>
                <w:lang w:eastAsia="en-GB"/>
              </w:rPr>
            </w:pPr>
            <w:r w:rsidRPr="00B7014C">
              <w:rPr>
                <w:color w:val="000000"/>
                <w:sz w:val="22"/>
                <w:szCs w:val="22"/>
                <w:lang w:eastAsia="en-GB"/>
              </w:rPr>
              <w:t>13,785</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50684675" w14:textId="07CCB51A">
            <w:pPr>
              <w:jc w:val="center"/>
              <w:rPr>
                <w:color w:val="000000"/>
                <w:sz w:val="22"/>
                <w:szCs w:val="22"/>
                <w:lang w:eastAsia="en-GB"/>
              </w:rPr>
            </w:pPr>
            <w:r w:rsidRPr="00B7014C">
              <w:rPr>
                <w:color w:val="000000"/>
                <w:sz w:val="22"/>
                <w:szCs w:val="22"/>
                <w:lang w:eastAsia="en-GB"/>
              </w:rPr>
              <w:t>13,576</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4B63DC8E" w14:textId="39C69388">
            <w:pPr>
              <w:jc w:val="center"/>
              <w:rPr>
                <w:color w:val="000000"/>
                <w:sz w:val="22"/>
                <w:szCs w:val="22"/>
                <w:lang w:eastAsia="en-GB"/>
              </w:rPr>
            </w:pPr>
            <w:r w:rsidRPr="00B7014C">
              <w:rPr>
                <w:color w:val="000000"/>
                <w:sz w:val="22"/>
                <w:szCs w:val="22"/>
                <w:lang w:eastAsia="en-GB"/>
              </w:rPr>
              <w:t>13,652</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51111C8F" w14:textId="6B860C3B">
            <w:pPr>
              <w:jc w:val="center"/>
              <w:rPr>
                <w:color w:val="000000"/>
                <w:sz w:val="22"/>
                <w:szCs w:val="22"/>
                <w:lang w:eastAsia="en-GB"/>
              </w:rPr>
            </w:pPr>
            <w:r w:rsidRPr="00B7014C">
              <w:rPr>
                <w:color w:val="000000"/>
                <w:sz w:val="22"/>
                <w:szCs w:val="22"/>
                <w:lang w:eastAsia="en-GB"/>
              </w:rPr>
              <w:t>13,857</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18818626" w14:textId="7DD09984">
            <w:pPr>
              <w:jc w:val="center"/>
              <w:rPr>
                <w:color w:val="000000"/>
                <w:sz w:val="22"/>
                <w:szCs w:val="22"/>
                <w:lang w:eastAsia="en-GB"/>
              </w:rPr>
            </w:pPr>
            <w:r w:rsidRPr="00B7014C">
              <w:rPr>
                <w:color w:val="000000"/>
                <w:sz w:val="22"/>
                <w:szCs w:val="22"/>
                <w:lang w:eastAsia="en-GB"/>
              </w:rPr>
              <w:t>14,048</w:t>
            </w:r>
          </w:p>
        </w:tc>
      </w:tr>
      <w:tr w:rsidRPr="00B7014C" w:rsidR="001B7258" w:rsidTr="008D0006" w14:paraId="1A55E722" w14:textId="77777777">
        <w:trPr>
          <w:trHeight w:val="300"/>
        </w:trPr>
        <w:tc>
          <w:tcPr>
            <w:tcW w:w="1134" w:type="dxa"/>
            <w:tcBorders>
              <w:top w:val="nil"/>
              <w:left w:val="single" w:color="auto" w:sz="4" w:space="0"/>
              <w:bottom w:val="single" w:color="auto" w:sz="4" w:space="0"/>
              <w:right w:val="single" w:color="auto" w:sz="4" w:space="0"/>
            </w:tcBorders>
            <w:shd w:val="clear" w:color="auto" w:fill="auto"/>
            <w:noWrap/>
            <w:vAlign w:val="bottom"/>
            <w:hideMark/>
          </w:tcPr>
          <w:p w:rsidRPr="00B7014C" w:rsidR="001B7258" w:rsidP="008D0006" w:rsidRDefault="001B7258" w14:paraId="050DEFB1" w14:textId="77777777">
            <w:pPr>
              <w:rPr>
                <w:color w:val="000000"/>
                <w:sz w:val="22"/>
                <w:szCs w:val="22"/>
                <w:lang w:eastAsia="en-GB"/>
              </w:rPr>
            </w:pPr>
            <w:r w:rsidRPr="00B7014C">
              <w:rPr>
                <w:color w:val="000000"/>
                <w:sz w:val="22"/>
                <w:szCs w:val="22"/>
                <w:lang w:eastAsia="en-GB"/>
              </w:rPr>
              <w:t>4 to 10</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02B1103A" w14:textId="3B0142B9">
            <w:pPr>
              <w:jc w:val="center"/>
              <w:rPr>
                <w:color w:val="000000"/>
                <w:sz w:val="22"/>
                <w:szCs w:val="22"/>
                <w:lang w:eastAsia="en-GB"/>
              </w:rPr>
            </w:pPr>
            <w:r w:rsidRPr="00B7014C">
              <w:rPr>
                <w:color w:val="000000"/>
                <w:sz w:val="22"/>
                <w:szCs w:val="22"/>
                <w:lang w:eastAsia="en-GB"/>
              </w:rPr>
              <w:t>20,315</w:t>
            </w:r>
          </w:p>
        </w:tc>
        <w:tc>
          <w:tcPr>
            <w:tcW w:w="828" w:type="dxa"/>
            <w:tcBorders>
              <w:top w:val="nil"/>
              <w:left w:val="nil"/>
              <w:bottom w:val="single" w:color="auto" w:sz="4" w:space="0"/>
              <w:right w:val="single" w:color="auto" w:sz="4" w:space="0"/>
            </w:tcBorders>
            <w:shd w:val="clear" w:color="auto" w:fill="auto"/>
            <w:vAlign w:val="bottom"/>
            <w:hideMark/>
          </w:tcPr>
          <w:p w:rsidRPr="00B7014C" w:rsidR="001B7258" w:rsidP="008D0006" w:rsidRDefault="001B7258" w14:paraId="5DC83A04" w14:textId="338608FE">
            <w:pPr>
              <w:jc w:val="center"/>
              <w:rPr>
                <w:color w:val="000000"/>
                <w:sz w:val="22"/>
                <w:szCs w:val="22"/>
                <w:lang w:eastAsia="en-GB"/>
              </w:rPr>
            </w:pPr>
            <w:r w:rsidRPr="00B7014C">
              <w:rPr>
                <w:color w:val="000000"/>
                <w:sz w:val="22"/>
                <w:szCs w:val="22"/>
                <w:lang w:eastAsia="en-GB"/>
              </w:rPr>
              <w:t>20,630</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65668717" w14:textId="680CF543">
            <w:pPr>
              <w:jc w:val="center"/>
              <w:rPr>
                <w:color w:val="000000"/>
                <w:sz w:val="22"/>
                <w:szCs w:val="22"/>
                <w:lang w:eastAsia="en-GB"/>
              </w:rPr>
            </w:pPr>
            <w:r w:rsidRPr="00B7014C">
              <w:rPr>
                <w:color w:val="000000"/>
                <w:sz w:val="22"/>
                <w:szCs w:val="22"/>
                <w:lang w:eastAsia="en-GB"/>
              </w:rPr>
              <w:t>21,713</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295973D2" w14:textId="080C0119">
            <w:pPr>
              <w:jc w:val="center"/>
              <w:rPr>
                <w:color w:val="000000"/>
                <w:sz w:val="22"/>
                <w:szCs w:val="22"/>
                <w:lang w:eastAsia="en-GB"/>
              </w:rPr>
            </w:pPr>
            <w:r w:rsidRPr="00B7014C">
              <w:rPr>
                <w:color w:val="000000"/>
                <w:sz w:val="22"/>
                <w:szCs w:val="22"/>
                <w:lang w:eastAsia="en-GB"/>
              </w:rPr>
              <w:t>22,588</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67BCF96E" w14:textId="2E4366A6">
            <w:pPr>
              <w:jc w:val="center"/>
              <w:rPr>
                <w:color w:val="000000"/>
                <w:sz w:val="22"/>
                <w:szCs w:val="22"/>
                <w:lang w:eastAsia="en-GB"/>
              </w:rPr>
            </w:pPr>
            <w:r w:rsidRPr="00B7014C">
              <w:rPr>
                <w:color w:val="000000"/>
                <w:sz w:val="22"/>
                <w:szCs w:val="22"/>
                <w:lang w:eastAsia="en-GB"/>
              </w:rPr>
              <w:t>23,204</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57B9EF5D" w14:textId="534C6815">
            <w:pPr>
              <w:jc w:val="center"/>
              <w:rPr>
                <w:color w:val="000000"/>
                <w:sz w:val="22"/>
                <w:szCs w:val="22"/>
                <w:lang w:eastAsia="en-GB"/>
              </w:rPr>
            </w:pPr>
            <w:r w:rsidRPr="00B7014C">
              <w:rPr>
                <w:color w:val="000000"/>
                <w:sz w:val="22"/>
                <w:szCs w:val="22"/>
                <w:lang w:eastAsia="en-GB"/>
              </w:rPr>
              <w:t>23,247</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1320AD09" w14:textId="1216AD1D">
            <w:pPr>
              <w:jc w:val="center"/>
              <w:rPr>
                <w:color w:val="000000"/>
                <w:sz w:val="22"/>
                <w:szCs w:val="22"/>
                <w:lang w:eastAsia="en-GB"/>
              </w:rPr>
            </w:pPr>
            <w:r w:rsidRPr="00B7014C">
              <w:rPr>
                <w:color w:val="000000"/>
                <w:sz w:val="22"/>
                <w:szCs w:val="22"/>
                <w:lang w:eastAsia="en-GB"/>
              </w:rPr>
              <w:t>23,337</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679AFB79" w14:textId="109019B7">
            <w:pPr>
              <w:jc w:val="center"/>
              <w:rPr>
                <w:color w:val="000000"/>
                <w:sz w:val="22"/>
                <w:szCs w:val="22"/>
                <w:lang w:eastAsia="en-GB"/>
              </w:rPr>
            </w:pPr>
            <w:r w:rsidRPr="00B7014C">
              <w:rPr>
                <w:color w:val="000000"/>
                <w:sz w:val="22"/>
                <w:szCs w:val="22"/>
                <w:lang w:eastAsia="en-GB"/>
              </w:rPr>
              <w:t>23,260</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3FAE3C8E" w14:textId="469E5D4E">
            <w:pPr>
              <w:jc w:val="center"/>
              <w:rPr>
                <w:color w:val="000000"/>
                <w:sz w:val="22"/>
                <w:szCs w:val="22"/>
                <w:lang w:eastAsia="en-GB"/>
              </w:rPr>
            </w:pPr>
            <w:r w:rsidRPr="00B7014C">
              <w:rPr>
                <w:color w:val="000000"/>
                <w:sz w:val="22"/>
                <w:szCs w:val="22"/>
                <w:lang w:eastAsia="en-GB"/>
              </w:rPr>
              <w:t>23,469</w:t>
            </w:r>
          </w:p>
        </w:tc>
      </w:tr>
      <w:tr w:rsidRPr="00B7014C" w:rsidR="001B7258" w:rsidTr="008D0006" w14:paraId="7321A240" w14:textId="77777777">
        <w:trPr>
          <w:trHeight w:val="300"/>
        </w:trPr>
        <w:tc>
          <w:tcPr>
            <w:tcW w:w="1134" w:type="dxa"/>
            <w:tcBorders>
              <w:top w:val="nil"/>
              <w:left w:val="single" w:color="auto" w:sz="4" w:space="0"/>
              <w:bottom w:val="single" w:color="auto" w:sz="4" w:space="0"/>
              <w:right w:val="single" w:color="auto" w:sz="4" w:space="0"/>
            </w:tcBorders>
            <w:shd w:val="clear" w:color="auto" w:fill="auto"/>
            <w:noWrap/>
            <w:vAlign w:val="bottom"/>
            <w:hideMark/>
          </w:tcPr>
          <w:p w:rsidRPr="00B7014C" w:rsidR="001B7258" w:rsidP="008D0006" w:rsidRDefault="001B7258" w14:paraId="6C90CB21" w14:textId="77777777">
            <w:pPr>
              <w:rPr>
                <w:color w:val="000000"/>
                <w:sz w:val="22"/>
                <w:szCs w:val="22"/>
                <w:lang w:eastAsia="en-GB"/>
              </w:rPr>
            </w:pPr>
            <w:r w:rsidRPr="00B7014C">
              <w:rPr>
                <w:color w:val="000000"/>
                <w:sz w:val="22"/>
                <w:szCs w:val="22"/>
                <w:lang w:eastAsia="en-GB"/>
              </w:rPr>
              <w:t>11 to 15</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09CDB1A5" w14:textId="3A698840">
            <w:pPr>
              <w:jc w:val="center"/>
              <w:rPr>
                <w:color w:val="000000"/>
                <w:sz w:val="22"/>
                <w:szCs w:val="22"/>
                <w:lang w:eastAsia="en-GB"/>
              </w:rPr>
            </w:pPr>
            <w:r w:rsidRPr="00B7014C">
              <w:rPr>
                <w:color w:val="000000"/>
                <w:sz w:val="22"/>
                <w:szCs w:val="22"/>
                <w:lang w:eastAsia="en-GB"/>
              </w:rPr>
              <w:t>14,892</w:t>
            </w:r>
          </w:p>
        </w:tc>
        <w:tc>
          <w:tcPr>
            <w:tcW w:w="828" w:type="dxa"/>
            <w:tcBorders>
              <w:top w:val="nil"/>
              <w:left w:val="nil"/>
              <w:bottom w:val="single" w:color="auto" w:sz="4" w:space="0"/>
              <w:right w:val="single" w:color="auto" w:sz="4" w:space="0"/>
            </w:tcBorders>
            <w:shd w:val="clear" w:color="auto" w:fill="auto"/>
            <w:vAlign w:val="bottom"/>
            <w:hideMark/>
          </w:tcPr>
          <w:p w:rsidRPr="00B7014C" w:rsidR="001B7258" w:rsidP="008D0006" w:rsidRDefault="001B7258" w14:paraId="3324B5C6" w14:textId="3813D4BC">
            <w:pPr>
              <w:jc w:val="center"/>
              <w:rPr>
                <w:color w:val="000000"/>
                <w:sz w:val="22"/>
                <w:szCs w:val="22"/>
                <w:lang w:eastAsia="en-GB"/>
              </w:rPr>
            </w:pPr>
            <w:r w:rsidRPr="00B7014C">
              <w:rPr>
                <w:color w:val="000000"/>
                <w:sz w:val="22"/>
                <w:szCs w:val="22"/>
                <w:lang w:eastAsia="en-GB"/>
              </w:rPr>
              <w:t>14,638</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225E3490" w14:textId="5429F54A">
            <w:pPr>
              <w:jc w:val="center"/>
              <w:rPr>
                <w:color w:val="000000"/>
                <w:sz w:val="22"/>
                <w:szCs w:val="22"/>
                <w:lang w:eastAsia="en-GB"/>
              </w:rPr>
            </w:pPr>
            <w:r w:rsidRPr="00B7014C">
              <w:rPr>
                <w:color w:val="000000"/>
                <w:sz w:val="22"/>
                <w:szCs w:val="22"/>
                <w:lang w:eastAsia="en-GB"/>
              </w:rPr>
              <w:t>14,228</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131344AB" w14:textId="4F92CB96">
            <w:pPr>
              <w:jc w:val="center"/>
              <w:rPr>
                <w:color w:val="000000"/>
                <w:sz w:val="22"/>
                <w:szCs w:val="22"/>
                <w:lang w:eastAsia="en-GB"/>
              </w:rPr>
            </w:pPr>
            <w:r w:rsidRPr="00B7014C">
              <w:rPr>
                <w:color w:val="000000"/>
                <w:sz w:val="22"/>
                <w:szCs w:val="22"/>
                <w:lang w:eastAsia="en-GB"/>
              </w:rPr>
              <w:t>14,160</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653E0B1E" w14:textId="6AC5B4E3">
            <w:pPr>
              <w:jc w:val="center"/>
              <w:rPr>
                <w:color w:val="000000"/>
                <w:sz w:val="22"/>
                <w:szCs w:val="22"/>
                <w:lang w:eastAsia="en-GB"/>
              </w:rPr>
            </w:pPr>
            <w:r w:rsidRPr="00B7014C">
              <w:rPr>
                <w:color w:val="000000"/>
                <w:sz w:val="22"/>
                <w:szCs w:val="22"/>
                <w:lang w:eastAsia="en-GB"/>
              </w:rPr>
              <w:t>14,317</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183D642E" w14:textId="3541CBF7">
            <w:pPr>
              <w:jc w:val="center"/>
              <w:rPr>
                <w:color w:val="000000"/>
                <w:sz w:val="22"/>
                <w:szCs w:val="22"/>
                <w:lang w:eastAsia="en-GB"/>
              </w:rPr>
            </w:pPr>
            <w:r w:rsidRPr="00B7014C">
              <w:rPr>
                <w:color w:val="000000"/>
                <w:sz w:val="22"/>
                <w:szCs w:val="22"/>
                <w:lang w:eastAsia="en-GB"/>
              </w:rPr>
              <w:t>14,429</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0638E9DE" w14:textId="0AFBE9CF">
            <w:pPr>
              <w:jc w:val="center"/>
              <w:rPr>
                <w:color w:val="000000"/>
                <w:sz w:val="22"/>
                <w:szCs w:val="22"/>
                <w:lang w:eastAsia="en-GB"/>
              </w:rPr>
            </w:pPr>
            <w:r w:rsidRPr="00B7014C">
              <w:rPr>
                <w:color w:val="000000"/>
                <w:sz w:val="22"/>
                <w:szCs w:val="22"/>
                <w:lang w:eastAsia="en-GB"/>
              </w:rPr>
              <w:t>14,776</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5070A31E" w14:textId="033732B6">
            <w:pPr>
              <w:jc w:val="center"/>
              <w:rPr>
                <w:color w:val="000000"/>
                <w:sz w:val="22"/>
                <w:szCs w:val="22"/>
                <w:lang w:eastAsia="en-GB"/>
              </w:rPr>
            </w:pPr>
            <w:r w:rsidRPr="00B7014C">
              <w:rPr>
                <w:color w:val="000000"/>
                <w:sz w:val="22"/>
                <w:szCs w:val="22"/>
                <w:lang w:eastAsia="en-GB"/>
              </w:rPr>
              <w:t>15,187</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0C2E9BF4" w14:textId="446E5905">
            <w:pPr>
              <w:jc w:val="center"/>
              <w:rPr>
                <w:color w:val="000000"/>
                <w:sz w:val="22"/>
                <w:szCs w:val="22"/>
                <w:lang w:eastAsia="en-GB"/>
              </w:rPr>
            </w:pPr>
            <w:r w:rsidRPr="00B7014C">
              <w:rPr>
                <w:color w:val="000000"/>
                <w:sz w:val="22"/>
                <w:szCs w:val="22"/>
                <w:lang w:eastAsia="en-GB"/>
              </w:rPr>
              <w:t>15,642</w:t>
            </w:r>
          </w:p>
        </w:tc>
      </w:tr>
      <w:tr w:rsidRPr="00B7014C" w:rsidR="001B7258" w:rsidTr="008D0006" w14:paraId="261EE085" w14:textId="77777777">
        <w:trPr>
          <w:trHeight w:val="300"/>
        </w:trPr>
        <w:tc>
          <w:tcPr>
            <w:tcW w:w="1134" w:type="dxa"/>
            <w:tcBorders>
              <w:top w:val="nil"/>
              <w:left w:val="single" w:color="auto" w:sz="4" w:space="0"/>
              <w:bottom w:val="single" w:color="auto" w:sz="4" w:space="0"/>
              <w:right w:val="single" w:color="auto" w:sz="4" w:space="0"/>
            </w:tcBorders>
            <w:shd w:val="clear" w:color="auto" w:fill="auto"/>
            <w:noWrap/>
            <w:vAlign w:val="bottom"/>
            <w:hideMark/>
          </w:tcPr>
          <w:p w:rsidRPr="00B7014C" w:rsidR="001B7258" w:rsidP="008D0006" w:rsidRDefault="001B7258" w14:paraId="6C5A5D72" w14:textId="77777777">
            <w:pPr>
              <w:rPr>
                <w:color w:val="000000"/>
                <w:sz w:val="22"/>
                <w:szCs w:val="22"/>
                <w:lang w:eastAsia="en-GB"/>
              </w:rPr>
            </w:pPr>
            <w:r w:rsidRPr="00B7014C">
              <w:rPr>
                <w:color w:val="000000"/>
                <w:sz w:val="22"/>
                <w:szCs w:val="22"/>
                <w:lang w:eastAsia="en-GB"/>
              </w:rPr>
              <w:t>16 to 25</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61BFC357" w14:textId="7D9CDF4E">
            <w:pPr>
              <w:jc w:val="center"/>
              <w:rPr>
                <w:color w:val="000000"/>
                <w:sz w:val="22"/>
                <w:szCs w:val="22"/>
                <w:lang w:eastAsia="en-GB"/>
              </w:rPr>
            </w:pPr>
            <w:r w:rsidRPr="00B7014C">
              <w:rPr>
                <w:color w:val="000000"/>
                <w:sz w:val="22"/>
                <w:szCs w:val="22"/>
                <w:lang w:eastAsia="en-GB"/>
              </w:rPr>
              <w:t>31,644</w:t>
            </w:r>
          </w:p>
        </w:tc>
        <w:tc>
          <w:tcPr>
            <w:tcW w:w="828" w:type="dxa"/>
            <w:tcBorders>
              <w:top w:val="nil"/>
              <w:left w:val="nil"/>
              <w:bottom w:val="single" w:color="auto" w:sz="4" w:space="0"/>
              <w:right w:val="single" w:color="auto" w:sz="4" w:space="0"/>
            </w:tcBorders>
            <w:shd w:val="clear" w:color="auto" w:fill="auto"/>
            <w:vAlign w:val="bottom"/>
            <w:hideMark/>
          </w:tcPr>
          <w:p w:rsidRPr="00B7014C" w:rsidR="001B7258" w:rsidP="008D0006" w:rsidRDefault="001B7258" w14:paraId="14B5D439" w14:textId="6BD50FAE">
            <w:pPr>
              <w:jc w:val="center"/>
              <w:rPr>
                <w:color w:val="000000"/>
                <w:sz w:val="22"/>
                <w:szCs w:val="22"/>
                <w:lang w:eastAsia="en-GB"/>
              </w:rPr>
            </w:pPr>
            <w:r w:rsidRPr="00B7014C">
              <w:rPr>
                <w:color w:val="000000"/>
                <w:sz w:val="22"/>
                <w:szCs w:val="22"/>
                <w:lang w:eastAsia="en-GB"/>
              </w:rPr>
              <w:t>31,099</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1E9B4C9A" w14:textId="68B3EB93">
            <w:pPr>
              <w:jc w:val="center"/>
              <w:rPr>
                <w:color w:val="000000"/>
                <w:sz w:val="22"/>
                <w:szCs w:val="22"/>
                <w:lang w:eastAsia="en-GB"/>
              </w:rPr>
            </w:pPr>
            <w:r w:rsidRPr="00B7014C">
              <w:rPr>
                <w:color w:val="000000"/>
                <w:sz w:val="22"/>
                <w:szCs w:val="22"/>
                <w:lang w:eastAsia="en-GB"/>
              </w:rPr>
              <w:t>29,586</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46D664C5" w14:textId="4D99197A">
            <w:pPr>
              <w:jc w:val="center"/>
              <w:rPr>
                <w:color w:val="000000"/>
                <w:sz w:val="22"/>
                <w:szCs w:val="22"/>
                <w:lang w:eastAsia="en-GB"/>
              </w:rPr>
            </w:pPr>
            <w:r w:rsidRPr="00B7014C">
              <w:rPr>
                <w:color w:val="000000"/>
                <w:sz w:val="22"/>
                <w:szCs w:val="22"/>
                <w:lang w:eastAsia="en-GB"/>
              </w:rPr>
              <w:t>28,624</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29E4B594" w14:textId="3DB9465A">
            <w:pPr>
              <w:jc w:val="center"/>
              <w:rPr>
                <w:color w:val="000000"/>
                <w:sz w:val="22"/>
                <w:szCs w:val="22"/>
                <w:lang w:eastAsia="en-GB"/>
              </w:rPr>
            </w:pPr>
            <w:r w:rsidRPr="00B7014C">
              <w:rPr>
                <w:color w:val="000000"/>
                <w:sz w:val="22"/>
                <w:szCs w:val="22"/>
                <w:lang w:eastAsia="en-GB"/>
              </w:rPr>
              <w:t>28,208</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4616CAB4" w14:textId="383A9082">
            <w:pPr>
              <w:jc w:val="center"/>
              <w:rPr>
                <w:color w:val="000000"/>
                <w:sz w:val="22"/>
                <w:szCs w:val="22"/>
                <w:lang w:eastAsia="en-GB"/>
              </w:rPr>
            </w:pPr>
            <w:r w:rsidRPr="00B7014C">
              <w:rPr>
                <w:color w:val="000000"/>
                <w:sz w:val="22"/>
                <w:szCs w:val="22"/>
                <w:lang w:eastAsia="en-GB"/>
              </w:rPr>
              <w:t>28,873</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736B305B" w14:textId="7D456D7B">
            <w:pPr>
              <w:jc w:val="center"/>
              <w:rPr>
                <w:color w:val="000000"/>
                <w:sz w:val="22"/>
                <w:szCs w:val="22"/>
                <w:lang w:eastAsia="en-GB"/>
              </w:rPr>
            </w:pPr>
            <w:r w:rsidRPr="00B7014C">
              <w:rPr>
                <w:color w:val="000000"/>
                <w:sz w:val="22"/>
                <w:szCs w:val="22"/>
                <w:lang w:eastAsia="en-GB"/>
              </w:rPr>
              <w:t>28,039</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722B1282" w14:textId="77A1308D">
            <w:pPr>
              <w:jc w:val="center"/>
              <w:rPr>
                <w:color w:val="000000"/>
                <w:sz w:val="22"/>
                <w:szCs w:val="22"/>
                <w:lang w:eastAsia="en-GB"/>
              </w:rPr>
            </w:pPr>
            <w:r w:rsidRPr="00B7014C">
              <w:rPr>
                <w:color w:val="000000"/>
                <w:sz w:val="22"/>
                <w:szCs w:val="22"/>
                <w:lang w:eastAsia="en-GB"/>
              </w:rPr>
              <w:t>27,959</w:t>
            </w:r>
          </w:p>
        </w:tc>
        <w:tc>
          <w:tcPr>
            <w:tcW w:w="828" w:type="dxa"/>
            <w:tcBorders>
              <w:top w:val="nil"/>
              <w:left w:val="nil"/>
              <w:bottom w:val="single" w:color="auto" w:sz="4" w:space="0"/>
              <w:right w:val="single" w:color="auto" w:sz="4" w:space="0"/>
            </w:tcBorders>
            <w:shd w:val="clear" w:color="auto" w:fill="auto"/>
            <w:noWrap/>
            <w:vAlign w:val="bottom"/>
            <w:hideMark/>
          </w:tcPr>
          <w:p w:rsidRPr="00B7014C" w:rsidR="001B7258" w:rsidP="008D0006" w:rsidRDefault="001B7258" w14:paraId="79720460" w14:textId="5859ECEE">
            <w:pPr>
              <w:jc w:val="center"/>
              <w:rPr>
                <w:color w:val="000000"/>
                <w:sz w:val="22"/>
                <w:szCs w:val="22"/>
                <w:lang w:eastAsia="en-GB"/>
              </w:rPr>
            </w:pPr>
            <w:r w:rsidRPr="00B7014C">
              <w:rPr>
                <w:color w:val="000000"/>
                <w:sz w:val="22"/>
                <w:szCs w:val="22"/>
                <w:lang w:eastAsia="en-GB"/>
              </w:rPr>
              <w:t>27,344</w:t>
            </w:r>
          </w:p>
        </w:tc>
      </w:tr>
    </w:tbl>
    <w:p w:rsidRPr="00B7014C" w:rsidR="00362818" w:rsidRDefault="00362818" w14:paraId="736620EF" w14:textId="51218C77"/>
    <w:p w:rsidRPr="00B7014C" w:rsidR="00234723" w:rsidRDefault="00234723" w14:paraId="74E96C8D" w14:textId="77777777">
      <w:r w:rsidRPr="00B7014C">
        <w:br w:type="page"/>
      </w:r>
    </w:p>
    <w:p w:rsidRPr="00B7014C" w:rsidR="004B737E" w:rsidP="004B737E" w:rsidRDefault="004B737E" w14:paraId="1B4B4534" w14:textId="0B16633A">
      <w:pPr>
        <w:pStyle w:val="Header"/>
      </w:pPr>
      <w:r w:rsidRPr="00B7014C">
        <w:lastRenderedPageBreak/>
        <w:t>Chart 1: Harrow’s 0 to 25 year old population 2011 to 201</w:t>
      </w:r>
      <w:r w:rsidRPr="00B7014C" w:rsidR="00286D8F">
        <w:t>9</w:t>
      </w:r>
    </w:p>
    <w:p w:rsidRPr="00B7014C" w:rsidR="004B737E" w:rsidP="004B737E" w:rsidRDefault="00286D8F" w14:paraId="31AAA625" w14:textId="54FEEC59">
      <w:pPr>
        <w:pStyle w:val="Header"/>
      </w:pPr>
      <w:r w:rsidRPr="00B7014C">
        <w:rPr>
          <w:noProof/>
        </w:rPr>
        <w:drawing>
          <wp:inline distT="0" distB="0" distL="0" distR="0" wp14:anchorId="52BE063F" wp14:editId="6AB53241">
            <wp:extent cx="6479540" cy="3108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3108912"/>
                    </a:xfrm>
                    <a:prstGeom prst="rect">
                      <a:avLst/>
                    </a:prstGeom>
                    <a:noFill/>
                  </pic:spPr>
                </pic:pic>
              </a:graphicData>
            </a:graphic>
          </wp:inline>
        </w:drawing>
      </w:r>
    </w:p>
    <w:p w:rsidRPr="00B7014C" w:rsidR="004B737E" w:rsidP="004B737E" w:rsidRDefault="004B737E" w14:paraId="7AB4B381" w14:textId="17A7E1A4">
      <w:pPr>
        <w:pStyle w:val="Header"/>
        <w:rPr>
          <w:sz w:val="20"/>
          <w:szCs w:val="20"/>
        </w:rPr>
      </w:pPr>
      <w:r w:rsidRPr="00B7014C">
        <w:rPr>
          <w:sz w:val="20"/>
          <w:szCs w:val="20"/>
        </w:rPr>
        <w:t>Source: GLA’s Harrow_</w:t>
      </w:r>
      <w:r w:rsidRPr="00B7014C" w:rsidR="00FA3AF9">
        <w:rPr>
          <w:sz w:val="20"/>
          <w:szCs w:val="20"/>
        </w:rPr>
        <w:t>scenario</w:t>
      </w:r>
      <w:r w:rsidRPr="00B7014C">
        <w:rPr>
          <w:sz w:val="20"/>
          <w:szCs w:val="20"/>
        </w:rPr>
        <w:t>_</w:t>
      </w:r>
      <w:r w:rsidRPr="00B7014C" w:rsidR="00FA3AF9">
        <w:rPr>
          <w:sz w:val="20"/>
          <w:szCs w:val="20"/>
        </w:rPr>
        <w:t>2_BPO_</w:t>
      </w:r>
      <w:r w:rsidRPr="00B7014C" w:rsidR="005B50EA">
        <w:rPr>
          <w:sz w:val="20"/>
          <w:szCs w:val="20"/>
        </w:rPr>
        <w:t>2019</w:t>
      </w:r>
    </w:p>
    <w:p w:rsidRPr="00B7014C" w:rsidR="00AA639C" w:rsidP="00A16979" w:rsidRDefault="00AA639C" w14:paraId="4C1B8ED9" w14:textId="77777777">
      <w:pPr>
        <w:pStyle w:val="Header"/>
      </w:pPr>
    </w:p>
    <w:p w:rsidRPr="00B7014C" w:rsidR="00306ADE" w:rsidP="00306ADE" w:rsidRDefault="00306ADE" w14:paraId="59B84C82" w14:textId="0F169351">
      <w:pPr>
        <w:pStyle w:val="Header"/>
      </w:pPr>
      <w:r w:rsidRPr="00B7014C">
        <w:t xml:space="preserve">The number of 0 to 3 year olds in Harrow </w:t>
      </w:r>
      <w:r w:rsidRPr="00B7014C" w:rsidR="00D73C4E">
        <w:t xml:space="preserve">has </w:t>
      </w:r>
      <w:proofErr w:type="spellStart"/>
      <w:r w:rsidRPr="00B7014C" w:rsidR="00D73C4E">
        <w:t>fluctutated</w:t>
      </w:r>
      <w:proofErr w:type="spellEnd"/>
      <w:r w:rsidRPr="00B7014C" w:rsidR="00D73C4E">
        <w:t xml:space="preserve"> over the last decade, </w:t>
      </w:r>
      <w:r w:rsidRPr="00B7014C">
        <w:t>increas</w:t>
      </w:r>
      <w:r w:rsidRPr="00B7014C" w:rsidR="00D73C4E">
        <w:t>ing</w:t>
      </w:r>
      <w:r w:rsidRPr="00B7014C">
        <w:t xml:space="preserve"> from </w:t>
      </w:r>
      <w:proofErr w:type="spellStart"/>
      <w:r w:rsidRPr="00B7014C">
        <w:t>from</w:t>
      </w:r>
      <w:proofErr w:type="spellEnd"/>
      <w:r w:rsidRPr="00B7014C">
        <w:t xml:space="preserve"> 13,25</w:t>
      </w:r>
      <w:r w:rsidRPr="00B7014C" w:rsidR="00EE32C4">
        <w:t>2</w:t>
      </w:r>
      <w:r w:rsidRPr="00B7014C">
        <w:t xml:space="preserve"> in 2011 to 14,02</w:t>
      </w:r>
      <w:r w:rsidRPr="00B7014C" w:rsidR="00EE32C4">
        <w:t>3</w:t>
      </w:r>
      <w:r w:rsidRPr="00B7014C">
        <w:t xml:space="preserve"> in 2013 and then f</w:t>
      </w:r>
      <w:r w:rsidRPr="00B7014C" w:rsidR="00F1710D">
        <w:t xml:space="preserve">alling </w:t>
      </w:r>
      <w:r w:rsidRPr="00B7014C">
        <w:t>to 13,</w:t>
      </w:r>
      <w:r w:rsidRPr="00B7014C" w:rsidR="002D2DBD">
        <w:t>57</w:t>
      </w:r>
      <w:r w:rsidRPr="00B7014C">
        <w:t>6 in 2016</w:t>
      </w:r>
      <w:r w:rsidRPr="00B7014C" w:rsidR="002D7781">
        <w:t xml:space="preserve"> but then increas</w:t>
      </w:r>
      <w:r w:rsidRPr="00B7014C" w:rsidR="00F1710D">
        <w:t xml:space="preserve">ing again </w:t>
      </w:r>
      <w:r w:rsidRPr="00B7014C" w:rsidR="002D7781">
        <w:t>to 14,048 in 2019</w:t>
      </w:r>
      <w:r w:rsidRPr="00B7014C">
        <w:t xml:space="preserve">.  </w:t>
      </w:r>
      <w:r w:rsidRPr="00B7014C" w:rsidR="002D7612">
        <w:t xml:space="preserve">However, they </w:t>
      </w:r>
      <w:proofErr w:type="gramStart"/>
      <w:r w:rsidRPr="00B7014C" w:rsidR="002D7612">
        <w:t xml:space="preserve">are </w:t>
      </w:r>
      <w:r w:rsidRPr="00B7014C">
        <w:t xml:space="preserve"> projected</w:t>
      </w:r>
      <w:proofErr w:type="gramEnd"/>
      <w:r w:rsidRPr="00B7014C">
        <w:t xml:space="preserve"> </w:t>
      </w:r>
      <w:r w:rsidRPr="00B7014C" w:rsidR="002D7612">
        <w:t>to decrease</w:t>
      </w:r>
      <w:r w:rsidRPr="00B7014C" w:rsidR="00A26F6A">
        <w:t xml:space="preserve"> between </w:t>
      </w:r>
      <w:r w:rsidRPr="00B7014C" w:rsidR="00C36D4B">
        <w:t>2019 and 2026, falling</w:t>
      </w:r>
      <w:r w:rsidRPr="00B7014C" w:rsidR="002D7612">
        <w:t xml:space="preserve"> </w:t>
      </w:r>
      <w:r w:rsidRPr="00B7014C" w:rsidR="00790224">
        <w:t xml:space="preserve">to 12,912 in 2026 and then </w:t>
      </w:r>
      <w:r w:rsidRPr="00B7014C" w:rsidR="00C36D4B">
        <w:t xml:space="preserve">very steadily </w:t>
      </w:r>
      <w:r w:rsidRPr="00B7014C" w:rsidR="00790224">
        <w:t>increas</w:t>
      </w:r>
      <w:r w:rsidRPr="00B7014C" w:rsidR="00C36D4B">
        <w:t>ing</w:t>
      </w:r>
      <w:r w:rsidRPr="00B7014C" w:rsidR="00790224">
        <w:t xml:space="preserve"> again to 13,382</w:t>
      </w:r>
      <w:r w:rsidRPr="00B7014C">
        <w:t xml:space="preserve"> in 203</w:t>
      </w:r>
      <w:r w:rsidRPr="00B7014C" w:rsidR="00790224">
        <w:t>4</w:t>
      </w:r>
      <w:r w:rsidRPr="00B7014C">
        <w:t>.</w:t>
      </w:r>
    </w:p>
    <w:p w:rsidRPr="00B7014C" w:rsidR="00306ADE" w:rsidP="00306ADE" w:rsidRDefault="00306ADE" w14:paraId="0E5BEB00" w14:textId="77777777">
      <w:pPr>
        <w:pStyle w:val="Header"/>
      </w:pPr>
    </w:p>
    <w:p w:rsidRPr="00B7014C" w:rsidR="00306ADE" w:rsidP="00306ADE" w:rsidRDefault="00306ADE" w14:paraId="77531552" w14:textId="77777777">
      <w:pPr>
        <w:pStyle w:val="Header"/>
      </w:pPr>
      <w:r w:rsidRPr="00B7014C">
        <w:t>Chart 2: Harrow’s 0 to 3 year old population</w:t>
      </w:r>
    </w:p>
    <w:p w:rsidRPr="00B7014C" w:rsidR="00306ADE" w:rsidP="00306ADE" w:rsidRDefault="00CC5837" w14:paraId="4965DF14" w14:textId="4E629FFC">
      <w:pPr>
        <w:pStyle w:val="Header"/>
      </w:pPr>
      <w:r w:rsidRPr="00B7014C">
        <w:rPr>
          <w:noProof/>
        </w:rPr>
        <w:drawing>
          <wp:inline distT="0" distB="0" distL="0" distR="0" wp14:anchorId="7D653500" wp14:editId="32E9E362">
            <wp:extent cx="6492875" cy="33337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875" cy="3333750"/>
                    </a:xfrm>
                    <a:prstGeom prst="rect">
                      <a:avLst/>
                    </a:prstGeom>
                    <a:noFill/>
                  </pic:spPr>
                </pic:pic>
              </a:graphicData>
            </a:graphic>
          </wp:inline>
        </w:drawing>
      </w:r>
    </w:p>
    <w:p w:rsidRPr="00B7014C" w:rsidR="00CC5837" w:rsidP="00CC5837" w:rsidRDefault="00306ADE" w14:paraId="78A87595" w14:textId="77777777">
      <w:pPr>
        <w:pStyle w:val="Header"/>
        <w:rPr>
          <w:sz w:val="20"/>
          <w:szCs w:val="20"/>
        </w:rPr>
      </w:pPr>
      <w:r w:rsidRPr="00B7014C">
        <w:rPr>
          <w:sz w:val="20"/>
          <w:szCs w:val="20"/>
        </w:rPr>
        <w:t xml:space="preserve">Source: </w:t>
      </w:r>
      <w:r w:rsidRPr="00B7014C" w:rsidR="00CC5837">
        <w:rPr>
          <w:sz w:val="20"/>
          <w:szCs w:val="20"/>
        </w:rPr>
        <w:t>GLA’s Harrow_scenario_2_BPO_2019</w:t>
      </w:r>
    </w:p>
    <w:p w:rsidRPr="00B7014C" w:rsidR="005235A5" w:rsidP="00A16979" w:rsidRDefault="005235A5" w14:paraId="3713CCC6" w14:textId="77777777">
      <w:pPr>
        <w:pStyle w:val="Header"/>
      </w:pPr>
    </w:p>
    <w:p w:rsidRPr="00B7014C" w:rsidR="00234723" w:rsidRDefault="00234723" w14:paraId="73C22993" w14:textId="77777777">
      <w:r w:rsidRPr="00B7014C">
        <w:br w:type="page"/>
      </w:r>
    </w:p>
    <w:p w:rsidRPr="00B7014C" w:rsidR="00EC2510" w:rsidP="00EC2510" w:rsidRDefault="00EC2510" w14:paraId="26406DD1" w14:textId="228AD991">
      <w:pPr>
        <w:pStyle w:val="Header"/>
      </w:pPr>
      <w:r w:rsidRPr="00B7014C">
        <w:lastRenderedPageBreak/>
        <w:t>The number of 4 to 10 year olds has increased from 20,3</w:t>
      </w:r>
      <w:r w:rsidRPr="00B7014C" w:rsidR="00BE4A30">
        <w:t>15</w:t>
      </w:r>
      <w:r w:rsidRPr="00B7014C">
        <w:t xml:space="preserve"> in 2011 to 23,</w:t>
      </w:r>
      <w:r w:rsidRPr="00B7014C" w:rsidR="00AC372F">
        <w:t>469</w:t>
      </w:r>
      <w:r w:rsidRPr="00B7014C">
        <w:t xml:space="preserve"> in 201</w:t>
      </w:r>
      <w:r w:rsidRPr="00B7014C" w:rsidR="00AC372F">
        <w:t>9</w:t>
      </w:r>
      <w:r w:rsidRPr="00B7014C">
        <w:t xml:space="preserve">, and are projected to </w:t>
      </w:r>
      <w:r w:rsidRPr="00B7014C" w:rsidR="005D6615">
        <w:t xml:space="preserve">dip to 23,135 in 2020 and then </w:t>
      </w:r>
      <w:r w:rsidRPr="00B7014C" w:rsidR="006434F5">
        <w:t xml:space="preserve">remain </w:t>
      </w:r>
      <w:r w:rsidRPr="00B7014C" w:rsidR="005D6615">
        <w:t>stead</w:t>
      </w:r>
      <w:r w:rsidRPr="00B7014C" w:rsidR="00726A64">
        <w:t>y</w:t>
      </w:r>
      <w:r w:rsidRPr="00B7014C" w:rsidR="006434F5">
        <w:t xml:space="preserve"> until </w:t>
      </w:r>
      <w:r w:rsidRPr="00B7014C" w:rsidR="004C3AE5">
        <w:t>2026, after which they start to decr</w:t>
      </w:r>
      <w:r w:rsidRPr="00B7014C" w:rsidR="005D6615">
        <w:t>eas</w:t>
      </w:r>
      <w:r w:rsidRPr="00B7014C" w:rsidR="004C3AE5">
        <w:t xml:space="preserve">e </w:t>
      </w:r>
      <w:r w:rsidRPr="00B7014C" w:rsidR="006434F5">
        <w:t>to 21,866 by 2034</w:t>
      </w:r>
      <w:r w:rsidRPr="00B7014C">
        <w:t xml:space="preserve">, as can be seen in Chart 3 below. </w:t>
      </w:r>
    </w:p>
    <w:p w:rsidRPr="00B7014C" w:rsidR="00EC2510" w:rsidRDefault="00EC2510" w14:paraId="4AF33B80" w14:textId="5D97C5E8"/>
    <w:p w:rsidRPr="00B7014C" w:rsidR="00EC2510" w:rsidP="00EC2510" w:rsidRDefault="00EC2510" w14:paraId="70AFB286" w14:textId="70D588EF">
      <w:pPr>
        <w:pStyle w:val="Header"/>
      </w:pPr>
      <w:r w:rsidRPr="00B7014C">
        <w:t>Chart 3: Harrow’s 4 to 10 year old population</w:t>
      </w:r>
    </w:p>
    <w:p w:rsidRPr="00B7014C" w:rsidR="00EC2510" w:rsidP="00EC2510" w:rsidRDefault="00E77E67" w14:paraId="1F60BB5D" w14:textId="7A916BA3">
      <w:pPr>
        <w:pStyle w:val="Header"/>
      </w:pPr>
      <w:r w:rsidRPr="00B7014C">
        <w:rPr>
          <w:noProof/>
        </w:rPr>
        <w:drawing>
          <wp:inline distT="0" distB="0" distL="0" distR="0" wp14:anchorId="7DDC5D7B" wp14:editId="03374652">
            <wp:extent cx="6492875" cy="315785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2875" cy="3157855"/>
                    </a:xfrm>
                    <a:prstGeom prst="rect">
                      <a:avLst/>
                    </a:prstGeom>
                    <a:noFill/>
                  </pic:spPr>
                </pic:pic>
              </a:graphicData>
            </a:graphic>
          </wp:inline>
        </w:drawing>
      </w:r>
    </w:p>
    <w:p w:rsidRPr="00B7014C" w:rsidR="00D16BB2" w:rsidRDefault="00E77E67" w14:paraId="74961E45" w14:textId="0FCBC918">
      <w:pPr>
        <w:rPr>
          <w:sz w:val="20"/>
          <w:szCs w:val="20"/>
        </w:rPr>
      </w:pPr>
      <w:r w:rsidRPr="00B7014C">
        <w:rPr>
          <w:sz w:val="20"/>
          <w:szCs w:val="20"/>
        </w:rPr>
        <w:t>Source: GLA’s Harrow_scenario_2_BPO_2019</w:t>
      </w:r>
    </w:p>
    <w:p w:rsidRPr="00B7014C" w:rsidR="00E77E67" w:rsidRDefault="00E77E67" w14:paraId="17EE529F" w14:textId="77777777"/>
    <w:p w:rsidRPr="00B7014C" w:rsidR="00A16979" w:rsidP="00A16979" w:rsidRDefault="004E28C7" w14:paraId="1F5A560B" w14:textId="1E667C96">
      <w:pPr>
        <w:pStyle w:val="Header"/>
      </w:pPr>
      <w:r w:rsidRPr="00B7014C">
        <w:t xml:space="preserve">Chart 4 below shows that the number of 11 to 15 year olds </w:t>
      </w:r>
      <w:r w:rsidRPr="00B7014C" w:rsidR="0023509D">
        <w:t>decreased from 14,892 in 2011 to 14,160</w:t>
      </w:r>
      <w:r w:rsidRPr="00B7014C" w:rsidR="003C29B8">
        <w:t xml:space="preserve"> in 2014, and then increased to 15,642 </w:t>
      </w:r>
      <w:r w:rsidRPr="00B7014C" w:rsidR="00D26181">
        <w:t>in 2019.  T</w:t>
      </w:r>
      <w:r w:rsidRPr="00B7014C">
        <w:t xml:space="preserve">he projections are </w:t>
      </w:r>
      <w:r w:rsidRPr="00B7014C" w:rsidR="00D26181">
        <w:t>p</w:t>
      </w:r>
      <w:r w:rsidRPr="00B7014C" w:rsidR="00D778AD">
        <w:t xml:space="preserve">rojected to continue increasing peaking at 16,743 in 2025 and then </w:t>
      </w:r>
      <w:r w:rsidRPr="00B7014C" w:rsidR="007F571D">
        <w:t xml:space="preserve">remain steady </w:t>
      </w:r>
      <w:r w:rsidRPr="00B7014C" w:rsidR="0079686D">
        <w:t xml:space="preserve">with a downward trajectory </w:t>
      </w:r>
      <w:r w:rsidRPr="00B7014C" w:rsidR="00486E4D">
        <w:t>to 16,081 in 2034.</w:t>
      </w:r>
    </w:p>
    <w:p w:rsidRPr="00B7014C" w:rsidR="00D11C37" w:rsidP="00A16979" w:rsidRDefault="00D11C37" w14:paraId="631E3E01" w14:textId="77777777">
      <w:pPr>
        <w:pStyle w:val="Header"/>
      </w:pPr>
    </w:p>
    <w:p w:rsidRPr="00B7014C" w:rsidR="00A16979" w:rsidP="00A16979" w:rsidRDefault="00A16979" w14:paraId="51C75598" w14:textId="75891A3B">
      <w:pPr>
        <w:pStyle w:val="Header"/>
      </w:pPr>
      <w:r w:rsidRPr="00B7014C">
        <w:t xml:space="preserve">Chart </w:t>
      </w:r>
      <w:r w:rsidRPr="00B7014C" w:rsidR="009170B2">
        <w:t>4</w:t>
      </w:r>
      <w:r w:rsidRPr="00B7014C">
        <w:t>: Harrow’s 11 to 15 year old population</w:t>
      </w:r>
    </w:p>
    <w:p w:rsidRPr="00B7014C" w:rsidR="009170B2" w:rsidP="00A16979" w:rsidRDefault="005500F7" w14:paraId="27C04F2F" w14:textId="5D99ECC6">
      <w:pPr>
        <w:pStyle w:val="Header"/>
      </w:pPr>
      <w:r w:rsidRPr="00B7014C">
        <w:rPr>
          <w:noProof/>
        </w:rPr>
        <w:drawing>
          <wp:inline distT="0" distB="0" distL="0" distR="0" wp14:anchorId="61DBC627" wp14:editId="28F86DD2">
            <wp:extent cx="6492875" cy="34321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2875" cy="3432175"/>
                    </a:xfrm>
                    <a:prstGeom prst="rect">
                      <a:avLst/>
                    </a:prstGeom>
                    <a:noFill/>
                  </pic:spPr>
                </pic:pic>
              </a:graphicData>
            </a:graphic>
          </wp:inline>
        </w:drawing>
      </w:r>
    </w:p>
    <w:p w:rsidRPr="00B7014C" w:rsidR="00515FAD" w:rsidRDefault="005500F7" w14:paraId="7667EE91" w14:textId="6D91BE64">
      <w:r w:rsidRPr="00B7014C">
        <w:rPr>
          <w:sz w:val="20"/>
          <w:szCs w:val="20"/>
        </w:rPr>
        <w:t>Source: GLA’s Harrow_scenario_2_BPO_2019</w:t>
      </w:r>
    </w:p>
    <w:p w:rsidRPr="00B7014C" w:rsidR="00F86821" w:rsidRDefault="00F86821" w14:paraId="294C0227" w14:textId="77777777">
      <w:r w:rsidRPr="00B7014C">
        <w:br w:type="page"/>
      </w:r>
    </w:p>
    <w:p w:rsidRPr="00B7014C" w:rsidR="006D3BB8" w:rsidP="006D3BB8" w:rsidRDefault="006D3BB8" w14:paraId="52615F34" w14:textId="3E59036A">
      <w:pPr>
        <w:pStyle w:val="Header"/>
      </w:pPr>
      <w:r w:rsidRPr="00B7014C">
        <w:lastRenderedPageBreak/>
        <w:t>Chart 5 below shows that the number of 16 to 25 year olds has dropped from 31,</w:t>
      </w:r>
      <w:r w:rsidRPr="00B7014C" w:rsidR="00936BC1">
        <w:t>644</w:t>
      </w:r>
      <w:r w:rsidRPr="00B7014C">
        <w:t xml:space="preserve"> in 2011 to 27,</w:t>
      </w:r>
      <w:r w:rsidRPr="00B7014C" w:rsidR="00173FFE">
        <w:t>344</w:t>
      </w:r>
      <w:r w:rsidRPr="00B7014C">
        <w:t xml:space="preserve"> in </w:t>
      </w:r>
      <w:proofErr w:type="gramStart"/>
      <w:r w:rsidRPr="00B7014C">
        <w:t>201</w:t>
      </w:r>
      <w:r w:rsidRPr="00B7014C" w:rsidR="00173FFE">
        <w:t>9</w:t>
      </w:r>
      <w:r w:rsidRPr="00B7014C">
        <w:t xml:space="preserve">, </w:t>
      </w:r>
      <w:r w:rsidRPr="00B7014C" w:rsidR="00173FFE">
        <w:t>and</w:t>
      </w:r>
      <w:proofErr w:type="gramEnd"/>
      <w:r w:rsidRPr="00B7014C" w:rsidR="00173FFE">
        <w:t xml:space="preserve"> </w:t>
      </w:r>
      <w:r w:rsidRPr="00B7014C">
        <w:t xml:space="preserve">are projected to </w:t>
      </w:r>
      <w:r w:rsidRPr="00B7014C" w:rsidR="00173FFE">
        <w:t xml:space="preserve">continue decreasing </w:t>
      </w:r>
      <w:r w:rsidRPr="00B7014C" w:rsidR="003D2C1D">
        <w:t xml:space="preserve">to 25,902 in 2021 and then steadily </w:t>
      </w:r>
      <w:r w:rsidRPr="00B7014C">
        <w:t xml:space="preserve">increase </w:t>
      </w:r>
      <w:r w:rsidRPr="00B7014C" w:rsidR="003D2C1D">
        <w:t>to</w:t>
      </w:r>
      <w:r w:rsidRPr="00B7014C">
        <w:t xml:space="preserve"> 3</w:t>
      </w:r>
      <w:r w:rsidRPr="00B7014C" w:rsidR="003D2C1D">
        <w:t>1</w:t>
      </w:r>
      <w:r w:rsidRPr="00B7014C">
        <w:t>,</w:t>
      </w:r>
      <w:r w:rsidRPr="00B7014C" w:rsidR="003D2C1D">
        <w:t>090</w:t>
      </w:r>
      <w:r w:rsidRPr="00B7014C">
        <w:t xml:space="preserve"> by 203</w:t>
      </w:r>
      <w:r w:rsidRPr="00B7014C" w:rsidR="003D2C1D">
        <w:t>4</w:t>
      </w:r>
      <w:r w:rsidRPr="00B7014C">
        <w:t>.</w:t>
      </w:r>
    </w:p>
    <w:p w:rsidRPr="00B7014C" w:rsidR="006D3BB8" w:rsidP="00A16979" w:rsidRDefault="006D3BB8" w14:paraId="4F5A32F2" w14:textId="77777777">
      <w:pPr>
        <w:pStyle w:val="Header"/>
      </w:pPr>
    </w:p>
    <w:p w:rsidRPr="00B7014C" w:rsidR="009170B2" w:rsidP="00A16979" w:rsidRDefault="00FE7065" w14:paraId="2D9B9349" w14:textId="781A7F12">
      <w:pPr>
        <w:pStyle w:val="Header"/>
      </w:pPr>
      <w:r w:rsidRPr="00B7014C">
        <w:t>Chart 5</w:t>
      </w:r>
      <w:r w:rsidRPr="00B7014C" w:rsidR="006D3BB8">
        <w:t>: Harrow’s 16 to 25 year old population</w:t>
      </w:r>
    </w:p>
    <w:p w:rsidRPr="00B7014C" w:rsidR="00FE7065" w:rsidP="00A16979" w:rsidRDefault="000379BF" w14:paraId="12FF3716" w14:textId="37805CCD">
      <w:pPr>
        <w:pStyle w:val="Header"/>
      </w:pPr>
      <w:r w:rsidRPr="00B7014C">
        <w:rPr>
          <w:noProof/>
        </w:rPr>
        <w:drawing>
          <wp:inline distT="0" distB="0" distL="0" distR="0" wp14:anchorId="20D5B7FE" wp14:editId="4C320F43">
            <wp:extent cx="6492875" cy="343217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2875" cy="3432175"/>
                    </a:xfrm>
                    <a:prstGeom prst="rect">
                      <a:avLst/>
                    </a:prstGeom>
                    <a:noFill/>
                  </pic:spPr>
                </pic:pic>
              </a:graphicData>
            </a:graphic>
          </wp:inline>
        </w:drawing>
      </w:r>
    </w:p>
    <w:p w:rsidRPr="00B7014C" w:rsidR="00CA6CC2" w:rsidRDefault="00463908" w14:paraId="705F76B6" w14:textId="26995206">
      <w:r w:rsidRPr="00B7014C">
        <w:rPr>
          <w:sz w:val="20"/>
          <w:szCs w:val="20"/>
        </w:rPr>
        <w:t>Source: GLA’s Harrow_scenario_2_BPO_2019</w:t>
      </w:r>
      <w:r w:rsidRPr="00B7014C" w:rsidR="00CA6CC2">
        <w:rPr>
          <w:rFonts w:cs="Times New Roman"/>
          <w:b/>
        </w:rPr>
        <w:br w:type="page"/>
      </w:r>
    </w:p>
    <w:p w:rsidRPr="00B7014C" w:rsidR="00A16979" w:rsidP="00FE7065" w:rsidRDefault="00A16979" w14:paraId="0B90219F" w14:textId="3B16AFB5">
      <w:pPr>
        <w:rPr>
          <w:rFonts w:cs="Times New Roman"/>
          <w:b/>
          <w:lang w:val="en-US"/>
        </w:rPr>
      </w:pPr>
      <w:r w:rsidRPr="00B7014C">
        <w:rPr>
          <w:rFonts w:cs="Times New Roman"/>
          <w:b/>
        </w:rPr>
        <w:lastRenderedPageBreak/>
        <w:t>Primary Planning Areas</w:t>
      </w:r>
    </w:p>
    <w:p w:rsidRPr="00B7014C" w:rsidR="00A16979" w:rsidP="00A16979" w:rsidRDefault="00A16979" w14:paraId="7EC3ABA4" w14:textId="56BC1F75">
      <w:pPr>
        <w:pStyle w:val="BodyText2"/>
        <w:rPr>
          <w:rFonts w:cs="Times New Roman"/>
          <w:color w:val="auto"/>
        </w:rPr>
      </w:pPr>
      <w:r w:rsidRPr="71CF5C8B" w:rsidR="00A16979">
        <w:rPr>
          <w:rFonts w:cs="Times New Roman"/>
          <w:color w:val="auto"/>
        </w:rPr>
        <w:t xml:space="preserve">The GLA projections for primary schools are area based, using the Planning Areas created in 2004 by Harrow Council for school place planning when they were changed to reflect boundary changes. The projections for each Planning Area are based on a combination of ward-level child population projections and the historic pattern of subscription to schools. An analysis of where pupils went to school in 2004, based on pupils’ postcodes, was used to define the Planning Areas.  Where over 40% of pupils in a ward went to schools in the Planning Area, these are described as “main” wards. Where between 10% and 40% of pupils in a ward went to schools in the Planning Area these are described as “other” wards. </w:t>
      </w:r>
      <w:r w:rsidRPr="71CF5C8B" w:rsidR="0DA058AA">
        <w:rPr>
          <w:rFonts w:cs="Times New Roman"/>
          <w:color w:val="auto"/>
        </w:rPr>
        <w:t>Thus,</w:t>
      </w:r>
      <w:r w:rsidRPr="71CF5C8B" w:rsidR="00A16979">
        <w:rPr>
          <w:rFonts w:cs="Times New Roman"/>
          <w:color w:val="auto"/>
        </w:rPr>
        <w:t xml:space="preserve"> it is possible to see that for Planning Area 1, the North East, most pupils attending Aylward, </w:t>
      </w:r>
      <w:proofErr w:type="spellStart"/>
      <w:r w:rsidRPr="71CF5C8B" w:rsidR="00A16979">
        <w:rPr>
          <w:rFonts w:cs="Times New Roman"/>
          <w:color w:val="auto"/>
        </w:rPr>
        <w:t>Stanburn</w:t>
      </w:r>
      <w:proofErr w:type="spellEnd"/>
      <w:r w:rsidRPr="71CF5C8B" w:rsidR="00A16979">
        <w:rPr>
          <w:rFonts w:cs="Times New Roman"/>
          <w:color w:val="auto"/>
        </w:rPr>
        <w:t xml:space="preserve">, </w:t>
      </w:r>
      <w:proofErr w:type="spellStart"/>
      <w:r w:rsidRPr="71CF5C8B" w:rsidR="00A16979">
        <w:rPr>
          <w:rFonts w:cs="Times New Roman"/>
          <w:color w:val="auto"/>
        </w:rPr>
        <w:t>Whitchurch</w:t>
      </w:r>
      <w:proofErr w:type="spellEnd"/>
      <w:r w:rsidRPr="71CF5C8B" w:rsidR="00A16979">
        <w:rPr>
          <w:rFonts w:cs="Times New Roman"/>
          <w:color w:val="auto"/>
        </w:rPr>
        <w:t xml:space="preserve"> and Weald Rise schools lived in Belmont, Stanmore Park and Canons wards. Smaller numbers of pupils lived in Harrow Weald, </w:t>
      </w:r>
      <w:proofErr w:type="spellStart"/>
      <w:r w:rsidRPr="71CF5C8B" w:rsidR="00A16979">
        <w:rPr>
          <w:rFonts w:cs="Times New Roman"/>
          <w:color w:val="auto"/>
        </w:rPr>
        <w:t>Edgware</w:t>
      </w:r>
      <w:proofErr w:type="spellEnd"/>
      <w:r w:rsidRPr="71CF5C8B" w:rsidR="00A16979">
        <w:rPr>
          <w:rFonts w:cs="Times New Roman"/>
          <w:color w:val="auto"/>
        </w:rPr>
        <w:t>, Queensbury, Wealdstone, Kenton East and Kenton West. The Primary Planning Areas are a tool for school place planning and therefore there is consideration of the impact of changes in one planning area on another.</w:t>
      </w:r>
    </w:p>
    <w:p w:rsidRPr="00B7014C" w:rsidR="00E31424" w:rsidP="00A16979" w:rsidRDefault="00E31424" w14:paraId="6ADE4331" w14:textId="77777777">
      <w:pPr>
        <w:pStyle w:val="BodyText2"/>
        <w:rPr>
          <w:rFonts w:cs="Times New Roman"/>
          <w:color w:val="auto"/>
        </w:rPr>
      </w:pPr>
    </w:p>
    <w:p w:rsidRPr="00B7014C" w:rsidR="006C0CBF" w:rsidP="71CF5C8B" w:rsidRDefault="00C169FC" w14:paraId="3229F252" w14:textId="65A708FA">
      <w:pPr>
        <w:pStyle w:val="BodyText2"/>
        <w:rPr>
          <w:rFonts w:cs="Times New Roman"/>
          <w:b w:val="1"/>
          <w:bCs w:val="1"/>
          <w:color w:val="FF0000"/>
        </w:rPr>
      </w:pPr>
      <w:r w:rsidRPr="71CF5C8B" w:rsidR="00C169FC">
        <w:rPr>
          <w:color w:val="auto"/>
        </w:rPr>
        <w:t xml:space="preserve">Following </w:t>
      </w:r>
      <w:r w:rsidRPr="71CF5C8B" w:rsidR="007626F0">
        <w:rPr>
          <w:color w:val="auto"/>
        </w:rPr>
        <w:t xml:space="preserve">the changes </w:t>
      </w:r>
      <w:r w:rsidRPr="71CF5C8B" w:rsidR="00C169FC">
        <w:rPr>
          <w:color w:val="auto"/>
        </w:rPr>
        <w:t xml:space="preserve">that have just been </w:t>
      </w:r>
      <w:r w:rsidRPr="71CF5C8B" w:rsidR="007626F0">
        <w:rPr>
          <w:color w:val="auto"/>
        </w:rPr>
        <w:t xml:space="preserve">made to Harrow’s </w:t>
      </w:r>
      <w:r w:rsidRPr="71CF5C8B" w:rsidR="007626F0">
        <w:rPr>
          <w:color w:val="auto"/>
        </w:rPr>
        <w:t>ward boun</w:t>
      </w:r>
      <w:r w:rsidRPr="71CF5C8B" w:rsidR="007626F0">
        <w:rPr>
          <w:color w:val="auto"/>
        </w:rPr>
        <w:t>dary changes</w:t>
      </w:r>
      <w:r w:rsidRPr="71CF5C8B" w:rsidR="00C169FC">
        <w:rPr>
          <w:color w:val="auto"/>
        </w:rPr>
        <w:t xml:space="preserve">, </w:t>
      </w:r>
      <w:r w:rsidRPr="71CF5C8B" w:rsidR="00C169FC">
        <w:rPr>
          <w:color w:val="auto"/>
        </w:rPr>
        <w:t xml:space="preserve">which </w:t>
      </w:r>
      <w:r w:rsidRPr="71CF5C8B" w:rsidR="007626F0">
        <w:rPr>
          <w:color w:val="auto"/>
        </w:rPr>
        <w:t>will</w:t>
      </w:r>
      <w:r w:rsidRPr="71CF5C8B" w:rsidR="007626F0">
        <w:rPr>
          <w:color w:val="auto"/>
        </w:rPr>
        <w:t xml:space="preserve"> be implemented in May 2022, </w:t>
      </w:r>
      <w:r w:rsidRPr="71CF5C8B" w:rsidR="006C0CBF">
        <w:rPr>
          <w:color w:val="auto"/>
        </w:rPr>
        <w:t xml:space="preserve">Harrow’s Planning Areas will </w:t>
      </w:r>
      <w:r w:rsidRPr="71CF5C8B" w:rsidR="007626F0">
        <w:rPr>
          <w:color w:val="auto"/>
        </w:rPr>
        <w:t xml:space="preserve">also </w:t>
      </w:r>
      <w:r w:rsidRPr="71CF5C8B" w:rsidR="006C0CBF">
        <w:rPr>
          <w:color w:val="auto"/>
        </w:rPr>
        <w:t>be reviewed</w:t>
      </w:r>
      <w:r w:rsidRPr="71CF5C8B" w:rsidR="007626F0">
        <w:rPr>
          <w:color w:val="auto"/>
        </w:rPr>
        <w:t>.</w:t>
      </w:r>
    </w:p>
    <w:p w:rsidRPr="00B7014C" w:rsidR="00A16979" w:rsidP="00A16979" w:rsidRDefault="00A16979" w14:paraId="339C9F4D" w14:textId="77777777">
      <w:pPr>
        <w:ind w:right="-165"/>
      </w:pPr>
    </w:p>
    <w:p w:rsidRPr="00B7014C" w:rsidR="00A16979" w:rsidP="00A16979" w:rsidRDefault="00A16979" w14:paraId="1A981608" w14:textId="2F59AE69">
      <w:pPr>
        <w:pStyle w:val="Heading2"/>
        <w:rPr>
          <w:b/>
          <w:i w:val="0"/>
          <w:color w:val="auto"/>
        </w:rPr>
      </w:pPr>
      <w:r w:rsidRPr="00B7014C">
        <w:rPr>
          <w:b/>
          <w:i w:val="0"/>
          <w:color w:val="auto"/>
        </w:rPr>
        <w:t>Harrow’s Births and Reception Year Rolls</w:t>
      </w:r>
    </w:p>
    <w:p w:rsidRPr="00B7014C" w:rsidR="00A16979" w:rsidP="00A16979" w:rsidRDefault="00A16979" w14:paraId="1385EEAE" w14:textId="0C8FC0D5">
      <w:pPr>
        <w:rPr>
          <w:bCs/>
        </w:rPr>
      </w:pPr>
      <w:r w:rsidRPr="00B7014C">
        <w:rPr>
          <w:bCs/>
        </w:rPr>
        <w:t>Harrow’s observed births have continued to increase from 2,922 in 2005/06 to 3,620 in 20</w:t>
      </w:r>
      <w:r w:rsidRPr="00B7014C" w:rsidR="00CB074A">
        <w:rPr>
          <w:bCs/>
        </w:rPr>
        <w:t xml:space="preserve">12/13, as can be seen in Chart </w:t>
      </w:r>
      <w:r w:rsidRPr="00B7014C" w:rsidR="00463ADB">
        <w:rPr>
          <w:bCs/>
        </w:rPr>
        <w:t>6</w:t>
      </w:r>
      <w:r w:rsidRPr="00B7014C" w:rsidR="00CB074A">
        <w:rPr>
          <w:bCs/>
        </w:rPr>
        <w:t xml:space="preserve"> </w:t>
      </w:r>
      <w:r w:rsidRPr="00B7014C">
        <w:rPr>
          <w:bCs/>
        </w:rPr>
        <w:t xml:space="preserve">below.  </w:t>
      </w:r>
      <w:r w:rsidRPr="00B7014C" w:rsidR="00031AD3">
        <w:rPr>
          <w:bCs/>
        </w:rPr>
        <w:t xml:space="preserve">Births fluctuated from 2013/14 onwards - dropping to </w:t>
      </w:r>
      <w:r w:rsidRPr="00B7014C">
        <w:rPr>
          <w:bCs/>
        </w:rPr>
        <w:t>3,509 in 2014/15</w:t>
      </w:r>
      <w:r w:rsidRPr="00B7014C" w:rsidR="00D20F0C">
        <w:rPr>
          <w:bCs/>
        </w:rPr>
        <w:t>, and</w:t>
      </w:r>
      <w:r w:rsidRPr="00B7014C">
        <w:rPr>
          <w:bCs/>
        </w:rPr>
        <w:t xml:space="preserve"> increas</w:t>
      </w:r>
      <w:r w:rsidRPr="00B7014C" w:rsidR="003F1685">
        <w:rPr>
          <w:bCs/>
        </w:rPr>
        <w:t xml:space="preserve">ing </w:t>
      </w:r>
      <w:r w:rsidRPr="00B7014C">
        <w:rPr>
          <w:bCs/>
        </w:rPr>
        <w:t>to 3,661 in 2015/16</w:t>
      </w:r>
      <w:r w:rsidRPr="00B7014C" w:rsidR="00463ADB">
        <w:rPr>
          <w:bCs/>
        </w:rPr>
        <w:t xml:space="preserve">, </w:t>
      </w:r>
      <w:r w:rsidRPr="00B7014C" w:rsidR="00D20F0C">
        <w:rPr>
          <w:bCs/>
        </w:rPr>
        <w:t>the</w:t>
      </w:r>
      <w:r w:rsidRPr="00B7014C" w:rsidR="00031AD3">
        <w:rPr>
          <w:bCs/>
        </w:rPr>
        <w:t xml:space="preserve">n dropped again in </w:t>
      </w:r>
      <w:r w:rsidRPr="00B7014C" w:rsidR="00463ADB">
        <w:rPr>
          <w:bCs/>
        </w:rPr>
        <w:t>2016/17 to 3,624</w:t>
      </w:r>
      <w:r w:rsidRPr="00B7014C" w:rsidR="00D20F0C">
        <w:rPr>
          <w:bCs/>
        </w:rPr>
        <w:t>, but increased to 3,655 in 2017/18 and then fell again in 201</w:t>
      </w:r>
      <w:r w:rsidRPr="00B7014C" w:rsidR="00E57D3D">
        <w:rPr>
          <w:bCs/>
        </w:rPr>
        <w:t>9</w:t>
      </w:r>
      <w:r w:rsidRPr="00B7014C" w:rsidR="00D20F0C">
        <w:rPr>
          <w:bCs/>
        </w:rPr>
        <w:t>/</w:t>
      </w:r>
      <w:r w:rsidRPr="00B7014C" w:rsidR="00E57D3D">
        <w:rPr>
          <w:bCs/>
        </w:rPr>
        <w:t>20</w:t>
      </w:r>
      <w:r w:rsidRPr="00B7014C" w:rsidR="00D20F0C">
        <w:rPr>
          <w:bCs/>
        </w:rPr>
        <w:t xml:space="preserve"> to 3,5</w:t>
      </w:r>
      <w:r w:rsidRPr="00B7014C" w:rsidR="00E57D3D">
        <w:rPr>
          <w:bCs/>
        </w:rPr>
        <w:t>06</w:t>
      </w:r>
      <w:r w:rsidRPr="00B7014C">
        <w:rPr>
          <w:bCs/>
        </w:rPr>
        <w:t xml:space="preserve">.  </w:t>
      </w:r>
    </w:p>
    <w:p w:rsidRPr="00B7014C" w:rsidR="00A16979" w:rsidP="00A16979" w:rsidRDefault="00A16979" w14:paraId="1422503F" w14:textId="77777777">
      <w:pPr>
        <w:rPr>
          <w:bCs/>
        </w:rPr>
      </w:pPr>
    </w:p>
    <w:p w:rsidRPr="00B7014C" w:rsidR="00A16979" w:rsidP="00A16979" w:rsidRDefault="00052136" w14:paraId="036D3BDC" w14:textId="09D4FCB7">
      <w:pPr>
        <w:rPr>
          <w:bCs/>
        </w:rPr>
      </w:pPr>
      <w:r w:rsidRPr="00B7014C">
        <w:rPr>
          <w:bCs/>
        </w:rPr>
        <w:t xml:space="preserve">In-line with this decline </w:t>
      </w:r>
      <w:r w:rsidRPr="00B7014C" w:rsidR="00A16979">
        <w:rPr>
          <w:bCs/>
        </w:rPr>
        <w:t xml:space="preserve">Harrow’s projected births </w:t>
      </w:r>
      <w:r w:rsidRPr="00B7014C" w:rsidR="00C97BA8">
        <w:rPr>
          <w:bCs/>
        </w:rPr>
        <w:t xml:space="preserve">are projected </w:t>
      </w:r>
      <w:r w:rsidRPr="00B7014C" w:rsidR="00A16979">
        <w:rPr>
          <w:bCs/>
        </w:rPr>
        <w:t xml:space="preserve">to </w:t>
      </w:r>
      <w:r w:rsidRPr="00B7014C" w:rsidR="00E57D3D">
        <w:rPr>
          <w:bCs/>
        </w:rPr>
        <w:t xml:space="preserve">continue </w:t>
      </w:r>
      <w:r w:rsidRPr="00B7014C" w:rsidR="00A16979">
        <w:rPr>
          <w:bCs/>
        </w:rPr>
        <w:t>d</w:t>
      </w:r>
      <w:r w:rsidRPr="00B7014C">
        <w:rPr>
          <w:bCs/>
        </w:rPr>
        <w:t>rop</w:t>
      </w:r>
      <w:r w:rsidRPr="00B7014C" w:rsidR="00007D6D">
        <w:rPr>
          <w:bCs/>
        </w:rPr>
        <w:t xml:space="preserve">ping, falling from </w:t>
      </w:r>
      <w:r w:rsidRPr="00B7014C">
        <w:rPr>
          <w:bCs/>
        </w:rPr>
        <w:t>3,</w:t>
      </w:r>
      <w:r w:rsidRPr="00B7014C" w:rsidR="00007D6D">
        <w:rPr>
          <w:bCs/>
        </w:rPr>
        <w:t>458</w:t>
      </w:r>
      <w:r w:rsidRPr="00B7014C">
        <w:rPr>
          <w:bCs/>
        </w:rPr>
        <w:t xml:space="preserve"> in </w:t>
      </w:r>
      <w:r w:rsidRPr="00B7014C" w:rsidR="00A16979">
        <w:rPr>
          <w:bCs/>
        </w:rPr>
        <w:t>20</w:t>
      </w:r>
      <w:r w:rsidRPr="00B7014C" w:rsidR="00DC0A7D">
        <w:rPr>
          <w:bCs/>
        </w:rPr>
        <w:t>20</w:t>
      </w:r>
      <w:r w:rsidRPr="00B7014C" w:rsidR="00007D6D">
        <w:rPr>
          <w:bCs/>
        </w:rPr>
        <w:t xml:space="preserve">/21 to </w:t>
      </w:r>
      <w:r w:rsidRPr="00B7014C" w:rsidR="0099020C">
        <w:rPr>
          <w:bCs/>
        </w:rPr>
        <w:t>3,276 in 2025/26</w:t>
      </w:r>
      <w:r w:rsidRPr="00B7014C">
        <w:rPr>
          <w:bCs/>
        </w:rPr>
        <w:t xml:space="preserve">, </w:t>
      </w:r>
      <w:r w:rsidRPr="00B7014C" w:rsidR="00A16979">
        <w:rPr>
          <w:bCs/>
        </w:rPr>
        <w:t xml:space="preserve">as can be seen in Chart </w:t>
      </w:r>
      <w:r w:rsidRPr="00B7014C">
        <w:rPr>
          <w:bCs/>
        </w:rPr>
        <w:t>6</w:t>
      </w:r>
      <w:r w:rsidRPr="00B7014C" w:rsidR="00A16979">
        <w:rPr>
          <w:bCs/>
        </w:rPr>
        <w:t xml:space="preserve"> below.</w:t>
      </w:r>
    </w:p>
    <w:p w:rsidRPr="00B7014C" w:rsidR="007C4D31" w:rsidP="00A16979" w:rsidRDefault="007C4D31" w14:paraId="57BA74D7" w14:textId="77777777">
      <w:pPr>
        <w:rPr>
          <w:noProof/>
          <w:lang w:eastAsia="en-GB"/>
        </w:rPr>
      </w:pPr>
    </w:p>
    <w:p w:rsidRPr="00B7014C" w:rsidR="00A16979" w:rsidP="00A16979" w:rsidRDefault="00A16979" w14:paraId="4F68D098" w14:textId="220BE02F">
      <w:pPr>
        <w:rPr>
          <w:noProof/>
          <w:lang w:eastAsia="en-GB"/>
        </w:rPr>
      </w:pPr>
      <w:r w:rsidRPr="00B7014C">
        <w:rPr>
          <w:noProof/>
          <w:lang w:eastAsia="en-GB"/>
        </w:rPr>
        <w:t xml:space="preserve">Chart </w:t>
      </w:r>
      <w:r w:rsidRPr="00B7014C" w:rsidR="00463ADB">
        <w:rPr>
          <w:noProof/>
          <w:lang w:eastAsia="en-GB"/>
        </w:rPr>
        <w:t>6</w:t>
      </w:r>
      <w:r w:rsidRPr="00B7014C">
        <w:rPr>
          <w:noProof/>
          <w:lang w:eastAsia="en-GB"/>
        </w:rPr>
        <w:t>: Harrow’s Actual &amp; Projected Births</w:t>
      </w:r>
    </w:p>
    <w:p w:rsidRPr="00B7014C" w:rsidR="00BA4BF2" w:rsidP="00A16979" w:rsidRDefault="006C6BBE" w14:paraId="446503DC" w14:textId="2CEA3701">
      <w:pPr>
        <w:rPr>
          <w:noProof/>
          <w:lang w:eastAsia="en-GB"/>
        </w:rPr>
      </w:pPr>
      <w:r w:rsidRPr="00B7014C">
        <w:rPr>
          <w:noProof/>
          <w:lang w:eastAsia="en-GB"/>
        </w:rPr>
        <w:drawing>
          <wp:inline distT="0" distB="0" distL="0" distR="0" wp14:anchorId="0C60F4CF" wp14:editId="3C51E5D0">
            <wp:extent cx="6480810" cy="3133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810" cy="3133725"/>
                    </a:xfrm>
                    <a:prstGeom prst="rect">
                      <a:avLst/>
                    </a:prstGeom>
                    <a:noFill/>
                  </pic:spPr>
                </pic:pic>
              </a:graphicData>
            </a:graphic>
          </wp:inline>
        </w:drawing>
      </w:r>
    </w:p>
    <w:p w:rsidRPr="00B7014C" w:rsidR="00A16979" w:rsidP="00A16979" w:rsidRDefault="00A16979" w14:paraId="2DEF8509" w14:textId="1EC1C1DE">
      <w:pPr>
        <w:pStyle w:val="Header"/>
        <w:rPr>
          <w:sz w:val="18"/>
          <w:szCs w:val="18"/>
        </w:rPr>
      </w:pPr>
      <w:r w:rsidRPr="00B7014C">
        <w:rPr>
          <w:sz w:val="20"/>
          <w:szCs w:val="20"/>
        </w:rPr>
        <w:t xml:space="preserve">Source: </w:t>
      </w:r>
      <w:r w:rsidRPr="00B7014C" w:rsidR="00A11B15">
        <w:rPr>
          <w:sz w:val="20"/>
          <w:szCs w:val="20"/>
        </w:rPr>
        <w:t xml:space="preserve">GLA Births </w:t>
      </w:r>
      <w:r w:rsidRPr="00B7014C" w:rsidR="00D004F0">
        <w:rPr>
          <w:sz w:val="20"/>
          <w:szCs w:val="20"/>
        </w:rPr>
        <w:t>Harrow_scenario_2_BPO_2019</w:t>
      </w:r>
    </w:p>
    <w:p w:rsidRPr="00B7014C" w:rsidR="00A16979" w:rsidP="00A16979" w:rsidRDefault="00A16979" w14:paraId="58CF6371" w14:textId="77777777"/>
    <w:p w:rsidRPr="00B7014C" w:rsidR="00A16979" w:rsidP="00A16979" w:rsidRDefault="00A16979" w14:paraId="2726C73C" w14:textId="07751531">
      <w:r w:rsidRPr="00B7014C">
        <w:t>In-line with the increase in Harrow’s births Harrow schools’ actual Reception numbers increased from 2,</w:t>
      </w:r>
      <w:r w:rsidRPr="00B7014C" w:rsidR="004E7711">
        <w:t>224</w:t>
      </w:r>
      <w:r w:rsidRPr="00B7014C">
        <w:t xml:space="preserve"> in 200</w:t>
      </w:r>
      <w:r w:rsidRPr="00B7014C" w:rsidR="004E7711">
        <w:t>5</w:t>
      </w:r>
      <w:r w:rsidRPr="00B7014C">
        <w:t>/0</w:t>
      </w:r>
      <w:r w:rsidRPr="00B7014C" w:rsidR="004E7711">
        <w:t>6</w:t>
      </w:r>
      <w:r w:rsidRPr="00B7014C">
        <w:t xml:space="preserve"> to 3,251 in 2014/15.  However, the numbers fell </w:t>
      </w:r>
      <w:r w:rsidRPr="00B7014C" w:rsidR="00A10BD7">
        <w:t>in 2015</w:t>
      </w:r>
      <w:r w:rsidRPr="00B7014C" w:rsidR="00516BFE">
        <w:t>/16</w:t>
      </w:r>
      <w:r w:rsidRPr="00B7014C" w:rsidR="00A10BD7">
        <w:t xml:space="preserve"> to 3,19</w:t>
      </w:r>
      <w:r w:rsidRPr="00B7014C" w:rsidR="00516BFE">
        <w:t>8</w:t>
      </w:r>
      <w:r w:rsidRPr="00B7014C">
        <w:t xml:space="preserve"> </w:t>
      </w:r>
      <w:r w:rsidRPr="00B7014C" w:rsidR="00A10BD7">
        <w:t>and then dropped again to 3,15</w:t>
      </w:r>
      <w:r w:rsidRPr="00B7014C" w:rsidR="00516BFE">
        <w:t>2</w:t>
      </w:r>
      <w:r w:rsidRPr="00B7014C">
        <w:t xml:space="preserve"> in </w:t>
      </w:r>
      <w:r w:rsidRPr="00B7014C" w:rsidR="00516BFE">
        <w:t>2016/</w:t>
      </w:r>
      <w:r w:rsidRPr="00B7014C">
        <w:t>17. In 201</w:t>
      </w:r>
      <w:r w:rsidRPr="00B7014C" w:rsidR="00516BFE">
        <w:t>7/1</w:t>
      </w:r>
      <w:r w:rsidRPr="00B7014C">
        <w:t xml:space="preserve">8 </w:t>
      </w:r>
      <w:r w:rsidRPr="00B7014C" w:rsidR="00A10BD7">
        <w:t>the reception number rose</w:t>
      </w:r>
      <w:r w:rsidRPr="00B7014C">
        <w:t xml:space="preserve"> slightly to 3,1</w:t>
      </w:r>
      <w:r w:rsidRPr="00B7014C" w:rsidR="00516BFE">
        <w:t>91</w:t>
      </w:r>
      <w:r w:rsidRPr="00B7014C" w:rsidR="00A10BD7">
        <w:t xml:space="preserve"> but then dropped quite significantly to 3,044 in 201</w:t>
      </w:r>
      <w:r w:rsidRPr="00B7014C" w:rsidR="00516BFE">
        <w:t>8/1</w:t>
      </w:r>
      <w:r w:rsidRPr="00B7014C" w:rsidR="00A10BD7">
        <w:t>9</w:t>
      </w:r>
      <w:r w:rsidRPr="00B7014C" w:rsidR="002163AC">
        <w:t xml:space="preserve">, </w:t>
      </w:r>
      <w:r w:rsidRPr="00B7014C" w:rsidR="00516BFE">
        <w:t>rose slightly to 3,079 in 2019/20</w:t>
      </w:r>
      <w:r w:rsidRPr="00B7014C" w:rsidR="002163AC">
        <w:t xml:space="preserve"> and then </w:t>
      </w:r>
      <w:r w:rsidRPr="00B7014C" w:rsidR="0032664C">
        <w:t>increased very slightly in 2020/21 to 3,089</w:t>
      </w:r>
      <w:r w:rsidRPr="00B7014C">
        <w:t xml:space="preserve">.  This </w:t>
      </w:r>
      <w:r w:rsidRPr="00B7014C" w:rsidR="0032664C">
        <w:t xml:space="preserve">overall </w:t>
      </w:r>
      <w:r w:rsidRPr="00B7014C">
        <w:t>decline i</w:t>
      </w:r>
      <w:r w:rsidRPr="00B7014C" w:rsidR="0032664C">
        <w:t>n the actual numbers i</w:t>
      </w:r>
      <w:r w:rsidRPr="00B7014C">
        <w:t xml:space="preserve">s </w:t>
      </w:r>
      <w:r w:rsidRPr="00B7014C" w:rsidR="006B2DD5">
        <w:t xml:space="preserve">somewhat </w:t>
      </w:r>
      <w:r w:rsidRPr="00B7014C">
        <w:t xml:space="preserve">reflected in </w:t>
      </w:r>
      <w:r w:rsidRPr="00B7014C" w:rsidR="006B2DD5">
        <w:t xml:space="preserve">a </w:t>
      </w:r>
      <w:r w:rsidRPr="00B7014C" w:rsidR="00FB7707">
        <w:t xml:space="preserve">lower trajectory </w:t>
      </w:r>
      <w:r w:rsidRPr="00B7014C" w:rsidR="006B2DD5">
        <w:t xml:space="preserve">of </w:t>
      </w:r>
      <w:r w:rsidRPr="00B7014C">
        <w:t>Harrow’s schools roll projections</w:t>
      </w:r>
      <w:r w:rsidRPr="00B7014C" w:rsidR="006B2DD5">
        <w:t xml:space="preserve">, as can be seen in </w:t>
      </w:r>
      <w:r w:rsidRPr="00B7014C" w:rsidR="006B2DD5">
        <w:lastRenderedPageBreak/>
        <w:t>chart 7 below</w:t>
      </w:r>
      <w:r w:rsidRPr="00B7014C">
        <w:t>.  Due to this change this report includes both the school roll projections as provided by the GLA (referred to as baseline) alongside our local adjustment of 2%.</w:t>
      </w:r>
    </w:p>
    <w:p w:rsidRPr="00B7014C" w:rsidR="00A16979" w:rsidP="00A16979" w:rsidRDefault="00A16979" w14:paraId="15B612D4" w14:textId="77777777"/>
    <w:p w:rsidRPr="00B7014C" w:rsidR="00A16979" w:rsidP="00A16979" w:rsidRDefault="00A16979" w14:paraId="04FD142E" w14:textId="42B5B12E">
      <w:pPr>
        <w:pStyle w:val="FootnoteText"/>
        <w:keepNext/>
        <w:keepLines/>
        <w:rPr>
          <w:noProof/>
          <w:sz w:val="24"/>
          <w:szCs w:val="24"/>
          <w:lang w:eastAsia="en-GB"/>
        </w:rPr>
      </w:pPr>
      <w:r w:rsidRPr="00B7014C">
        <w:rPr>
          <w:noProof/>
          <w:sz w:val="24"/>
          <w:szCs w:val="24"/>
          <w:lang w:eastAsia="en-GB"/>
        </w:rPr>
        <w:t xml:space="preserve">Chart </w:t>
      </w:r>
      <w:r w:rsidRPr="00B7014C" w:rsidR="00C050C5">
        <w:rPr>
          <w:noProof/>
          <w:sz w:val="24"/>
          <w:szCs w:val="24"/>
          <w:lang w:eastAsia="en-GB"/>
        </w:rPr>
        <w:t>7</w:t>
      </w:r>
      <w:r w:rsidRPr="00B7014C">
        <w:rPr>
          <w:noProof/>
          <w:sz w:val="24"/>
          <w:szCs w:val="24"/>
          <w:lang w:eastAsia="en-GB"/>
        </w:rPr>
        <w:t>: Harrow’s Actual &amp; Projected Reception Year Rolls</w:t>
      </w:r>
    </w:p>
    <w:p w:rsidRPr="00B7014C" w:rsidR="00B2119F" w:rsidP="00A16979" w:rsidRDefault="00735646" w14:paraId="3915586C" w14:textId="6CAE54C4">
      <w:pPr>
        <w:pStyle w:val="FootnoteText"/>
        <w:keepNext/>
        <w:keepLines/>
        <w:rPr>
          <w:noProof/>
          <w:sz w:val="24"/>
          <w:szCs w:val="24"/>
          <w:lang w:eastAsia="en-GB"/>
        </w:rPr>
      </w:pPr>
      <w:r w:rsidRPr="00B7014C">
        <w:rPr>
          <w:noProof/>
          <w:sz w:val="24"/>
          <w:szCs w:val="24"/>
          <w:lang w:eastAsia="en-GB"/>
        </w:rPr>
        <w:drawing>
          <wp:inline distT="0" distB="0" distL="0" distR="0" wp14:anchorId="36C3EF54" wp14:editId="1313764E">
            <wp:extent cx="6480810" cy="32556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810" cy="3255645"/>
                    </a:xfrm>
                    <a:prstGeom prst="rect">
                      <a:avLst/>
                    </a:prstGeom>
                    <a:noFill/>
                  </pic:spPr>
                </pic:pic>
              </a:graphicData>
            </a:graphic>
          </wp:inline>
        </w:drawing>
      </w:r>
    </w:p>
    <w:p w:rsidRPr="00B7014C" w:rsidR="00B670E5" w:rsidP="00A16979" w:rsidRDefault="00A16979" w14:paraId="0A068A41" w14:textId="425E1849">
      <w:pPr>
        <w:rPr>
          <w:sz w:val="20"/>
          <w:szCs w:val="20"/>
        </w:rPr>
      </w:pPr>
      <w:r w:rsidRPr="00B7014C">
        <w:rPr>
          <w:sz w:val="20"/>
          <w:szCs w:val="20"/>
        </w:rPr>
        <w:t xml:space="preserve">Source: </w:t>
      </w:r>
      <w:r w:rsidRPr="00B7014C" w:rsidR="00C3530C">
        <w:rPr>
          <w:sz w:val="20"/>
          <w:szCs w:val="20"/>
        </w:rPr>
        <w:t>GLA SRP_borough_Spring2021_3_1_BPO2019scenario_2_0806211613</w:t>
      </w:r>
    </w:p>
    <w:p w:rsidRPr="00B7014C" w:rsidR="00C3530C" w:rsidP="00A16979" w:rsidRDefault="00C3530C" w14:paraId="2ED66ECE" w14:textId="77777777">
      <w:pPr>
        <w:rPr>
          <w:b/>
          <w:bCs/>
        </w:rPr>
      </w:pPr>
    </w:p>
    <w:p w:rsidRPr="00B7014C" w:rsidR="00A16979" w:rsidP="00A16979" w:rsidRDefault="00A16979" w14:paraId="6C5AE5C3" w14:textId="55D1AA9C">
      <w:pPr>
        <w:rPr>
          <w:b/>
          <w:bCs/>
        </w:rPr>
      </w:pPr>
      <w:r w:rsidRPr="00B7014C">
        <w:rPr>
          <w:b/>
          <w:bCs/>
        </w:rPr>
        <w:t>Births to School Conversion</w:t>
      </w:r>
    </w:p>
    <w:p w:rsidRPr="00B7014C" w:rsidR="00A16979" w:rsidP="00A16979" w:rsidRDefault="00A16979" w14:paraId="44759A55" w14:textId="1C3BB20D">
      <w:pPr>
        <w:rPr>
          <w:bCs/>
        </w:rPr>
      </w:pPr>
      <w:r w:rsidRPr="00B7014C">
        <w:rPr>
          <w:bCs/>
        </w:rPr>
        <w:t>Harrow’s birth to school pupil conversion rate has ranged from 89% in 2006/07 (representing 2,310 children in Reception as at Ja</w:t>
      </w:r>
      <w:r w:rsidRPr="00B7014C" w:rsidR="00795187">
        <w:rPr>
          <w:bCs/>
        </w:rPr>
        <w:t>nuary 2007 from a total of 2,602</w:t>
      </w:r>
      <w:r w:rsidRPr="00B7014C">
        <w:rPr>
          <w:bCs/>
        </w:rPr>
        <w:t xml:space="preserve"> births in 2001/02) to 97% in 2014/15 (representing 3,25</w:t>
      </w:r>
      <w:r w:rsidRPr="00B7014C" w:rsidR="00122E51">
        <w:rPr>
          <w:bCs/>
        </w:rPr>
        <w:t>1</w:t>
      </w:r>
      <w:r w:rsidRPr="00B7014C">
        <w:rPr>
          <w:bCs/>
        </w:rPr>
        <w:t xml:space="preserve"> children in Reception as at January 2015 from a total of 3,344 births in 2009/10).  </w:t>
      </w:r>
      <w:proofErr w:type="gramStart"/>
      <w:r w:rsidRPr="00B7014C">
        <w:rPr>
          <w:bCs/>
        </w:rPr>
        <w:t>However</w:t>
      </w:r>
      <w:proofErr w:type="gramEnd"/>
      <w:r w:rsidRPr="00B7014C">
        <w:rPr>
          <w:bCs/>
        </w:rPr>
        <w:t xml:space="preserve"> the conversion rate has been dro</w:t>
      </w:r>
      <w:r w:rsidRPr="00B7014C" w:rsidR="00795187">
        <w:rPr>
          <w:bCs/>
        </w:rPr>
        <w:t>pping since and has fallen to 8</w:t>
      </w:r>
      <w:r w:rsidRPr="00B7014C" w:rsidR="00785335">
        <w:rPr>
          <w:bCs/>
        </w:rPr>
        <w:t>4</w:t>
      </w:r>
      <w:r w:rsidRPr="00B7014C" w:rsidR="00795187">
        <w:rPr>
          <w:bCs/>
        </w:rPr>
        <w:t>% in 20</w:t>
      </w:r>
      <w:r w:rsidRPr="00B7014C" w:rsidR="00785335">
        <w:rPr>
          <w:bCs/>
        </w:rPr>
        <w:t>20</w:t>
      </w:r>
      <w:r w:rsidRPr="00B7014C">
        <w:rPr>
          <w:bCs/>
        </w:rPr>
        <w:t>/</w:t>
      </w:r>
      <w:r w:rsidRPr="00B7014C" w:rsidR="00122E51">
        <w:rPr>
          <w:bCs/>
        </w:rPr>
        <w:t>2</w:t>
      </w:r>
      <w:r w:rsidRPr="00B7014C" w:rsidR="00785335">
        <w:rPr>
          <w:bCs/>
        </w:rPr>
        <w:t>1</w:t>
      </w:r>
      <w:r w:rsidRPr="00B7014C">
        <w:rPr>
          <w:bCs/>
        </w:rPr>
        <w:t xml:space="preserve"> (representing 3,</w:t>
      </w:r>
      <w:r w:rsidRPr="00B7014C" w:rsidR="00795187">
        <w:rPr>
          <w:bCs/>
        </w:rPr>
        <w:t>0</w:t>
      </w:r>
      <w:r w:rsidRPr="00B7014C" w:rsidR="00D17AEE">
        <w:rPr>
          <w:bCs/>
        </w:rPr>
        <w:t>8</w:t>
      </w:r>
      <w:r w:rsidRPr="00B7014C" w:rsidR="00122E51">
        <w:rPr>
          <w:bCs/>
        </w:rPr>
        <w:t>9</w:t>
      </w:r>
      <w:r w:rsidRPr="00B7014C">
        <w:rPr>
          <w:bCs/>
        </w:rPr>
        <w:t xml:space="preserve"> children</w:t>
      </w:r>
      <w:r w:rsidRPr="00B7014C" w:rsidR="00795187">
        <w:rPr>
          <w:bCs/>
        </w:rPr>
        <w:t xml:space="preserve"> in Reception as at January 20</w:t>
      </w:r>
      <w:r w:rsidRPr="00B7014C" w:rsidR="00122E51">
        <w:rPr>
          <w:bCs/>
        </w:rPr>
        <w:t>20</w:t>
      </w:r>
      <w:r w:rsidRPr="00B7014C">
        <w:rPr>
          <w:bCs/>
        </w:rPr>
        <w:t xml:space="preserve"> from a total of 3,</w:t>
      </w:r>
      <w:r w:rsidRPr="00B7014C" w:rsidR="00D17AEE">
        <w:rPr>
          <w:bCs/>
        </w:rPr>
        <w:t>661</w:t>
      </w:r>
      <w:r w:rsidRPr="00B7014C">
        <w:rPr>
          <w:bCs/>
        </w:rPr>
        <w:t xml:space="preserve"> births). </w:t>
      </w:r>
    </w:p>
    <w:p w:rsidRPr="00B7014C" w:rsidR="00A16979" w:rsidP="00A16979" w:rsidRDefault="00A16979" w14:paraId="6EAE9202" w14:textId="77777777">
      <w:pPr>
        <w:rPr>
          <w:bCs/>
        </w:rPr>
      </w:pPr>
    </w:p>
    <w:p w:rsidRPr="00B7014C" w:rsidR="00A16979" w:rsidP="00A16979" w:rsidRDefault="00A16979" w14:paraId="3A243C7B" w14:textId="230FF1FF">
      <w:pPr>
        <w:rPr>
          <w:bCs/>
        </w:rPr>
      </w:pPr>
      <w:r w:rsidRPr="00B7014C">
        <w:rPr>
          <w:bCs/>
        </w:rPr>
        <w:t>It should be noted that increase</w:t>
      </w:r>
      <w:r w:rsidRPr="00B7014C" w:rsidR="00F83A2D">
        <w:rPr>
          <w:bCs/>
        </w:rPr>
        <w:t>s</w:t>
      </w:r>
      <w:r w:rsidRPr="00B7014C">
        <w:rPr>
          <w:bCs/>
        </w:rPr>
        <w:t xml:space="preserve"> in Harrow’s births ha</w:t>
      </w:r>
      <w:r w:rsidRPr="00B7014C" w:rsidR="00F83A2D">
        <w:rPr>
          <w:bCs/>
        </w:rPr>
        <w:t>ve</w:t>
      </w:r>
      <w:r w:rsidRPr="00B7014C">
        <w:rPr>
          <w:bCs/>
        </w:rPr>
        <w:t xml:space="preserve"> not inevitably translated into children accepting a place in Harrow’s schools Reception year group</w:t>
      </w:r>
      <w:r w:rsidRPr="00B7014C" w:rsidR="00B94BD3">
        <w:rPr>
          <w:bCs/>
        </w:rPr>
        <w:t>, as can be seen by the latest data above</w:t>
      </w:r>
      <w:r w:rsidRPr="00B7014C">
        <w:rPr>
          <w:bCs/>
        </w:rPr>
        <w:t xml:space="preserve">.  There are likely to be a range of variables that will affect the actual number of births converting into Harrow’s Reception school children, such as migration into and out of the borough, </w:t>
      </w:r>
      <w:r w:rsidRPr="00B7014C" w:rsidR="00AD01A2">
        <w:rPr>
          <w:bCs/>
        </w:rPr>
        <w:t>migration out of the country especially of European Citizens returning to their country of origin</w:t>
      </w:r>
      <w:r w:rsidRPr="00B7014C" w:rsidR="00D23F9B">
        <w:rPr>
          <w:bCs/>
        </w:rPr>
        <w:t xml:space="preserve"> (likely to be due to both Brexit and or the Covid-19 pandemic)</w:t>
      </w:r>
      <w:r w:rsidRPr="00B7014C" w:rsidR="00AD01A2">
        <w:rPr>
          <w:bCs/>
        </w:rPr>
        <w:t>,</w:t>
      </w:r>
      <w:r w:rsidRPr="00B7014C">
        <w:rPr>
          <w:bCs/>
        </w:rPr>
        <w:t>children living on the borders of Harrow could be attending neighbouring boroughs school’s (especially with new free school’s opening in Harrow’s neighbouring boroughs), or even selecting an independent school.</w:t>
      </w:r>
    </w:p>
    <w:p w:rsidRPr="00B7014C" w:rsidR="00A16979" w:rsidP="00A16979" w:rsidRDefault="00A16979" w14:paraId="1B3107F0" w14:textId="77777777">
      <w:pPr>
        <w:rPr>
          <w:bCs/>
        </w:rPr>
      </w:pPr>
    </w:p>
    <w:p w:rsidRPr="00B7014C" w:rsidR="00A16979" w:rsidP="00A16979" w:rsidRDefault="00A16979" w14:paraId="430A4014" w14:textId="30D95D95">
      <w:pPr>
        <w:rPr>
          <w:bCs/>
        </w:rPr>
      </w:pPr>
      <w:r w:rsidRPr="00B7014C">
        <w:rPr>
          <w:bCs/>
        </w:rPr>
        <w:t xml:space="preserve">Chart </w:t>
      </w:r>
      <w:r w:rsidRPr="00B7014C" w:rsidR="00F83A2D">
        <w:rPr>
          <w:bCs/>
        </w:rPr>
        <w:t>9</w:t>
      </w:r>
      <w:r w:rsidRPr="00B7014C">
        <w:rPr>
          <w:bCs/>
        </w:rPr>
        <w:t xml:space="preserve"> below shows Harrow’s 2006/07 to 201</w:t>
      </w:r>
      <w:r w:rsidRPr="00B7014C" w:rsidR="002876D7">
        <w:rPr>
          <w:bCs/>
        </w:rPr>
        <w:t>9</w:t>
      </w:r>
      <w:r w:rsidRPr="00B7014C">
        <w:rPr>
          <w:bCs/>
        </w:rPr>
        <w:t>/</w:t>
      </w:r>
      <w:r w:rsidRPr="00B7014C" w:rsidR="002876D7">
        <w:rPr>
          <w:bCs/>
        </w:rPr>
        <w:t>20</w:t>
      </w:r>
      <w:r w:rsidRPr="00B7014C">
        <w:rPr>
          <w:bCs/>
        </w:rPr>
        <w:t xml:space="preserve"> births to actual Reception numbers on roll conversion rate, which has been fluctuating, from 89% in the academic year 2006/07, peaking at 97% in 2014/15</w:t>
      </w:r>
      <w:r w:rsidRPr="00B7014C" w:rsidR="00A6206F">
        <w:rPr>
          <w:bCs/>
        </w:rPr>
        <w:t>, falling to 85</w:t>
      </w:r>
      <w:r w:rsidRPr="00B7014C">
        <w:rPr>
          <w:bCs/>
        </w:rPr>
        <w:t>% in 201</w:t>
      </w:r>
      <w:r w:rsidRPr="00B7014C" w:rsidR="00A6206F">
        <w:rPr>
          <w:bCs/>
        </w:rPr>
        <w:t>8</w:t>
      </w:r>
      <w:r w:rsidRPr="00B7014C">
        <w:rPr>
          <w:bCs/>
        </w:rPr>
        <w:t>/1</w:t>
      </w:r>
      <w:r w:rsidRPr="00B7014C" w:rsidR="00A6206F">
        <w:rPr>
          <w:bCs/>
        </w:rPr>
        <w:t>9</w:t>
      </w:r>
      <w:r w:rsidRPr="00B7014C" w:rsidR="002876D7">
        <w:rPr>
          <w:bCs/>
        </w:rPr>
        <w:t xml:space="preserve"> and increasing to 88% in 2019/20</w:t>
      </w:r>
      <w:r w:rsidRPr="00B7014C" w:rsidR="00170725">
        <w:rPr>
          <w:bCs/>
        </w:rPr>
        <w:t xml:space="preserve"> and then falling again to </w:t>
      </w:r>
      <w:r w:rsidRPr="00B7014C" w:rsidR="003021E8">
        <w:rPr>
          <w:bCs/>
        </w:rPr>
        <w:t>the lowest retention rate ever – 84% in 2020/21</w:t>
      </w:r>
      <w:r w:rsidRPr="00B7014C">
        <w:rPr>
          <w:bCs/>
        </w:rPr>
        <w:t>.  It also shows Harrow’s 20</w:t>
      </w:r>
      <w:r w:rsidRPr="00B7014C" w:rsidR="005666F7">
        <w:rPr>
          <w:bCs/>
        </w:rPr>
        <w:t>20/2</w:t>
      </w:r>
      <w:r w:rsidRPr="00B7014C">
        <w:rPr>
          <w:bCs/>
        </w:rPr>
        <w:t>1 to 203</w:t>
      </w:r>
      <w:r w:rsidRPr="00B7014C" w:rsidR="005D2B3F">
        <w:rPr>
          <w:bCs/>
        </w:rPr>
        <w:t>1</w:t>
      </w:r>
      <w:r w:rsidRPr="00B7014C">
        <w:rPr>
          <w:bCs/>
        </w:rPr>
        <w:t>/3</w:t>
      </w:r>
      <w:r w:rsidRPr="00B7014C" w:rsidR="005D2B3F">
        <w:rPr>
          <w:bCs/>
        </w:rPr>
        <w:t>2</w:t>
      </w:r>
      <w:r w:rsidRPr="00B7014C">
        <w:rPr>
          <w:bCs/>
        </w:rPr>
        <w:t xml:space="preserve"> projected conversion rate, which is </w:t>
      </w:r>
      <w:r w:rsidRPr="00B7014C" w:rsidR="00B12B47">
        <w:rPr>
          <w:bCs/>
        </w:rPr>
        <w:t xml:space="preserve">in line with the recent fluctuations in the </w:t>
      </w:r>
      <w:r w:rsidRPr="00B7014C">
        <w:rPr>
          <w:bCs/>
        </w:rPr>
        <w:t>actual conversion rates, r</w:t>
      </w:r>
      <w:r w:rsidRPr="00B7014C" w:rsidR="00A6206F">
        <w:rPr>
          <w:bCs/>
        </w:rPr>
        <w:t xml:space="preserve">anging </w:t>
      </w:r>
      <w:r w:rsidRPr="00B7014C">
        <w:rPr>
          <w:bCs/>
        </w:rPr>
        <w:t>between 8</w:t>
      </w:r>
      <w:r w:rsidRPr="00B7014C" w:rsidR="00FF5F5C">
        <w:rPr>
          <w:bCs/>
        </w:rPr>
        <w:t>6</w:t>
      </w:r>
      <w:r w:rsidRPr="00B7014C">
        <w:rPr>
          <w:bCs/>
        </w:rPr>
        <w:t xml:space="preserve">% and </w:t>
      </w:r>
      <w:r w:rsidRPr="00B7014C" w:rsidR="00A6206F">
        <w:rPr>
          <w:bCs/>
        </w:rPr>
        <w:t>9</w:t>
      </w:r>
      <w:r w:rsidRPr="00B7014C" w:rsidR="00FF5F5C">
        <w:rPr>
          <w:bCs/>
        </w:rPr>
        <w:t>0</w:t>
      </w:r>
      <w:r w:rsidRPr="00B7014C">
        <w:rPr>
          <w:bCs/>
        </w:rPr>
        <w:t>%.</w:t>
      </w:r>
    </w:p>
    <w:p w:rsidRPr="00B7014C" w:rsidR="00122E51" w:rsidP="00A16979" w:rsidRDefault="00122E51" w14:paraId="77EAF986" w14:textId="77777777">
      <w:pPr>
        <w:rPr>
          <w:bCs/>
        </w:rPr>
      </w:pPr>
    </w:p>
    <w:p w:rsidRPr="00B7014C" w:rsidR="00871D60" w:rsidRDefault="00871D60" w14:paraId="776957E8" w14:textId="77777777">
      <w:pPr>
        <w:rPr>
          <w:bCs/>
        </w:rPr>
      </w:pPr>
      <w:r w:rsidRPr="00B7014C">
        <w:rPr>
          <w:bCs/>
        </w:rPr>
        <w:br w:type="page"/>
      </w:r>
    </w:p>
    <w:p w:rsidRPr="00B7014C" w:rsidR="00A16979" w:rsidP="00A16979" w:rsidRDefault="00D04760" w14:paraId="604ACF62" w14:textId="16989A6F">
      <w:pPr>
        <w:rPr>
          <w:bCs/>
        </w:rPr>
      </w:pPr>
      <w:r w:rsidRPr="00B7014C">
        <w:rPr>
          <w:bCs/>
        </w:rPr>
        <w:lastRenderedPageBreak/>
        <w:t>Chart 9</w:t>
      </w:r>
      <w:r w:rsidRPr="00B7014C" w:rsidR="00A16979">
        <w:rPr>
          <w:bCs/>
        </w:rPr>
        <w:t xml:space="preserve"> - Conversion rate of Harrow births into </w:t>
      </w:r>
      <w:r w:rsidRPr="00B7014C" w:rsidR="00A16979">
        <w:rPr>
          <w:b/>
          <w:bCs/>
        </w:rPr>
        <w:t>actual</w:t>
      </w:r>
      <w:r w:rsidRPr="00B7014C" w:rsidR="00A16979">
        <w:rPr>
          <w:bCs/>
        </w:rPr>
        <w:t xml:space="preserve"> school Reception numbers on roll</w:t>
      </w:r>
    </w:p>
    <w:p w:rsidRPr="00B7014C" w:rsidR="00A16979" w:rsidP="00A16979" w:rsidRDefault="001340F7" w14:paraId="3102BB51" w14:textId="1DFDD176">
      <w:pPr>
        <w:rPr>
          <w:b/>
          <w:bCs/>
        </w:rPr>
      </w:pPr>
      <w:r w:rsidRPr="00B7014C">
        <w:rPr>
          <w:b/>
          <w:bCs/>
          <w:noProof/>
        </w:rPr>
        <w:drawing>
          <wp:inline distT="0" distB="0" distL="0" distR="0" wp14:anchorId="11900FF6" wp14:editId="10295DBD">
            <wp:extent cx="6492875" cy="3255645"/>
            <wp:effectExtent l="0" t="0" r="317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875" cy="3255645"/>
                    </a:xfrm>
                    <a:prstGeom prst="rect">
                      <a:avLst/>
                    </a:prstGeom>
                    <a:noFill/>
                  </pic:spPr>
                </pic:pic>
              </a:graphicData>
            </a:graphic>
          </wp:inline>
        </w:drawing>
      </w:r>
    </w:p>
    <w:p w:rsidR="00D15EAE" w:rsidP="00D15EAE" w:rsidRDefault="00A16979" w14:paraId="1B15E458" w14:textId="769E86A7">
      <w:pPr>
        <w:pStyle w:val="Header"/>
        <w:rPr>
          <w:bCs/>
          <w:sz w:val="18"/>
          <w:szCs w:val="18"/>
        </w:rPr>
      </w:pPr>
      <w:r w:rsidRPr="00B7014C">
        <w:rPr>
          <w:sz w:val="18"/>
          <w:szCs w:val="18"/>
        </w:rPr>
        <w:t xml:space="preserve">Source: </w:t>
      </w:r>
      <w:r w:rsidRPr="00B7014C" w:rsidR="001340F7">
        <w:rPr>
          <w:sz w:val="20"/>
          <w:szCs w:val="20"/>
        </w:rPr>
        <w:t>GLA Births Harrow_scenario_2_BPO_2019</w:t>
      </w:r>
    </w:p>
    <w:p w:rsidR="00A16979" w:rsidP="00A16979" w:rsidRDefault="00A16979" w14:paraId="50D8EEA9" w14:textId="27A12045">
      <w:pPr>
        <w:pStyle w:val="Header"/>
        <w:rPr>
          <w:sz w:val="18"/>
          <w:szCs w:val="18"/>
        </w:rPr>
      </w:pPr>
    </w:p>
    <w:p w:rsidR="00A16979" w:rsidP="00A16979" w:rsidRDefault="00A16979" w14:paraId="2D48BA3D" w14:textId="77777777">
      <w:pPr>
        <w:rPr>
          <w:bCs/>
        </w:rPr>
      </w:pPr>
    </w:p>
    <w:p w:rsidRPr="00F26985" w:rsidR="00340B1D" w:rsidP="00340B1D" w:rsidRDefault="00A16979" w14:paraId="16A6EFF8" w14:textId="77777777">
      <w:pPr>
        <w:rPr>
          <w:sz w:val="20"/>
          <w:szCs w:val="20"/>
        </w:rPr>
      </w:pPr>
      <w:r>
        <w:rPr>
          <w:b/>
        </w:rPr>
        <w:br w:type="page"/>
      </w:r>
      <w:r w:rsidRPr="00F26985" w:rsidR="00340B1D">
        <w:rPr>
          <w:b/>
        </w:rPr>
        <w:lastRenderedPageBreak/>
        <w:t>Section 2:</w:t>
      </w:r>
      <w:r w:rsidRPr="00F26985" w:rsidR="00340B1D">
        <w:rPr>
          <w:b/>
        </w:rPr>
        <w:tab/>
      </w:r>
      <w:r w:rsidRPr="00F26985" w:rsidR="00340B1D">
        <w:rPr>
          <w:b/>
        </w:rPr>
        <w:t xml:space="preserve">Local Factors Influencing Harrow’s Pupil Projections </w:t>
      </w:r>
    </w:p>
    <w:p w:rsidRPr="00F26985" w:rsidR="00340B1D" w:rsidP="00340B1D" w:rsidRDefault="00340B1D" w14:paraId="1D50AB8D" w14:textId="77777777">
      <w:pPr>
        <w:pStyle w:val="Header"/>
        <w:tabs>
          <w:tab w:val="clear" w:pos="4320"/>
          <w:tab w:val="clear" w:pos="8640"/>
        </w:tabs>
        <w:rPr>
          <w:rFonts w:cs="Times New Roman"/>
          <w:b/>
        </w:rPr>
      </w:pPr>
    </w:p>
    <w:p w:rsidRPr="00F26985" w:rsidR="00340B1D" w:rsidP="00340B1D" w:rsidRDefault="00340B1D" w14:paraId="3AD20B60" w14:textId="77777777">
      <w:pPr>
        <w:pStyle w:val="Header"/>
        <w:tabs>
          <w:tab w:val="clear" w:pos="4320"/>
          <w:tab w:val="clear" w:pos="8640"/>
        </w:tabs>
        <w:rPr>
          <w:b/>
          <w:lang w:eastAsia="en-GB"/>
        </w:rPr>
      </w:pPr>
      <w:r w:rsidRPr="00F26985">
        <w:rPr>
          <w:b/>
          <w:lang w:eastAsia="en-GB"/>
        </w:rPr>
        <w:t>School Admissions Applications, Offers for Places and Take –Up</w:t>
      </w:r>
    </w:p>
    <w:p w:rsidRPr="00F26985" w:rsidR="00340B1D" w:rsidP="00340B1D" w:rsidRDefault="00340B1D" w14:paraId="270B42D6" w14:textId="77777777">
      <w:pPr>
        <w:pStyle w:val="Header"/>
        <w:tabs>
          <w:tab w:val="clear" w:pos="4320"/>
          <w:tab w:val="clear" w:pos="8640"/>
        </w:tabs>
        <w:rPr>
          <w:b/>
          <w:lang w:eastAsia="en-GB"/>
        </w:rPr>
      </w:pPr>
    </w:p>
    <w:p w:rsidRPr="00F26985" w:rsidR="00340B1D" w:rsidP="00340B1D" w:rsidRDefault="00340B1D" w14:paraId="760FC0DD" w14:textId="77777777">
      <w:r w:rsidRPr="00F26985">
        <w:t xml:space="preserve">Residents must apply to their home authority for a maintained school place, whether the school place is within the authority or out of borough. During the Admissions process, applications for a Harrow school from out borough residents are also considered and vice versa. Whilst residents do not apply for an independent school place via the Local Authority, they sometimes do let the authority know that they are sending their child to an independent school.  </w:t>
      </w:r>
    </w:p>
    <w:p w:rsidRPr="00F26985" w:rsidR="00340B1D" w:rsidP="00340B1D" w:rsidRDefault="00340B1D" w14:paraId="5566D62B" w14:textId="77777777">
      <w:pPr>
        <w:rPr>
          <w:lang w:eastAsia="en-GB"/>
        </w:rPr>
      </w:pPr>
    </w:p>
    <w:p w:rsidRPr="00F26985" w:rsidR="00340B1D" w:rsidP="00340B1D" w:rsidRDefault="00340B1D" w14:paraId="6533216F" w14:textId="77777777">
      <w:pPr>
        <w:rPr>
          <w:b/>
          <w:lang w:eastAsia="en-GB"/>
        </w:rPr>
      </w:pPr>
      <w:r w:rsidRPr="00F26985">
        <w:rPr>
          <w:b/>
          <w:lang w:eastAsia="en-GB"/>
        </w:rPr>
        <w:t>Reception in-take</w:t>
      </w:r>
    </w:p>
    <w:p w:rsidRPr="00F26985" w:rsidR="00340B1D" w:rsidP="00340B1D" w:rsidRDefault="00340B1D" w14:paraId="75969C27" w14:textId="2696C2C5">
      <w:pPr>
        <w:rPr>
          <w:b/>
        </w:rPr>
      </w:pPr>
      <w:r w:rsidRPr="00F26985">
        <w:rPr>
          <w:lang w:eastAsia="en-GB"/>
        </w:rPr>
        <w:t>The Admissions service has experienced an increasing trend until 2014 in the number of on-time, late and in-year applications for Reception and all of the primary phase year groups.  Applications for Reception places have platueaued from 2015 to 20</w:t>
      </w:r>
      <w:r w:rsidRPr="00F26985" w:rsidR="00B7461F">
        <w:rPr>
          <w:lang w:eastAsia="en-GB"/>
        </w:rPr>
        <w:t>20</w:t>
      </w:r>
      <w:r w:rsidR="00414803">
        <w:rPr>
          <w:noProof/>
          <w:lang w:eastAsia="en-GB"/>
        </w:rPr>
        <w:t xml:space="preserve"> and are now staring to decline</w:t>
      </w:r>
      <w:r w:rsidRPr="00F26985">
        <w:rPr>
          <w:lang w:eastAsia="en-GB"/>
        </w:rPr>
        <w:t xml:space="preserve">. </w:t>
      </w:r>
    </w:p>
    <w:p w:rsidRPr="00F26985" w:rsidR="00340B1D" w:rsidP="00340B1D" w:rsidRDefault="00340B1D" w14:paraId="2DF17589" w14:textId="77777777">
      <w:pPr>
        <w:rPr>
          <w:b/>
        </w:rPr>
      </w:pPr>
    </w:p>
    <w:p w:rsidRPr="00F26985" w:rsidR="00340B1D" w:rsidP="00340B1D" w:rsidRDefault="00340B1D" w14:paraId="2336DBDE" w14:textId="77777777">
      <w:pPr>
        <w:rPr>
          <w:b/>
        </w:rPr>
      </w:pPr>
      <w:r w:rsidRPr="00F26985">
        <w:rPr>
          <w:b/>
        </w:rPr>
        <w:t>Harrow Residents</w:t>
      </w:r>
    </w:p>
    <w:p w:rsidRPr="00F26985" w:rsidR="00340B1D" w:rsidP="00340B1D" w:rsidRDefault="00340B1D" w14:paraId="0A9D97FD" w14:textId="51A83141">
      <w:r w:rsidRPr="00F26985">
        <w:t>Admissions received 3,</w:t>
      </w:r>
      <w:r w:rsidR="00323132">
        <w:t>142</w:t>
      </w:r>
      <w:r w:rsidRPr="00F26985">
        <w:t xml:space="preserve"> applications (as at 1</w:t>
      </w:r>
      <w:r w:rsidR="00323132">
        <w:t>8</w:t>
      </w:r>
      <w:r w:rsidRPr="00F26985">
        <w:t xml:space="preserve"> </w:t>
      </w:r>
      <w:r w:rsidRPr="00F26985" w:rsidR="00383003">
        <w:t>July 202</w:t>
      </w:r>
      <w:r w:rsidR="00323132">
        <w:t>1</w:t>
      </w:r>
      <w:r w:rsidRPr="00F26985">
        <w:t xml:space="preserve">) </w:t>
      </w:r>
      <w:r w:rsidRPr="00F26985">
        <w:rPr>
          <w:b/>
        </w:rPr>
        <w:t>from Harrow residents</w:t>
      </w:r>
      <w:r w:rsidRPr="00F26985">
        <w:t xml:space="preserve"> for a September 2</w:t>
      </w:r>
      <w:r w:rsidRPr="00F26985" w:rsidR="00383003">
        <w:t>02</w:t>
      </w:r>
      <w:r w:rsidR="00323132">
        <w:t>1</w:t>
      </w:r>
      <w:r w:rsidRPr="00F26985">
        <w:t xml:space="preserve"> Reception year school place; this includes applications for Harrow schools, out of borough schools etc.  </w:t>
      </w:r>
    </w:p>
    <w:p w:rsidRPr="00F26985" w:rsidR="00340B1D" w:rsidP="00340B1D" w:rsidRDefault="00340B1D" w14:paraId="5ADC6B32" w14:textId="77777777"/>
    <w:p w:rsidRPr="00F26985" w:rsidR="00340B1D" w:rsidP="00340B1D" w:rsidRDefault="00340B1D" w14:paraId="55095666" w14:textId="77777777">
      <w:pPr>
        <w:rPr>
          <w:b/>
        </w:rPr>
      </w:pPr>
      <w:r w:rsidRPr="00F26985">
        <w:rPr>
          <w:b/>
        </w:rPr>
        <w:t>Applications and offers of Reception places</w:t>
      </w:r>
    </w:p>
    <w:p w:rsidRPr="00F26985" w:rsidR="00340B1D" w:rsidP="00340B1D" w:rsidRDefault="00340B1D" w14:paraId="62445CD9" w14:textId="164F7C70">
      <w:r w:rsidRPr="00F26985">
        <w:t xml:space="preserve">Table 1 below shows the total number of applications over the last few years.  This </w:t>
      </w:r>
      <w:r w:rsidRPr="00F26985">
        <w:rPr>
          <w:lang w:eastAsia="en-GB"/>
        </w:rPr>
        <w:t xml:space="preserve">table also illustrates the difference between the number of offers made and the take up of places as measured by the DfE School Census in January.  The take-up rate </w:t>
      </w:r>
      <w:r w:rsidR="00C143AB">
        <w:rPr>
          <w:lang w:eastAsia="en-GB"/>
        </w:rPr>
        <w:t>has reverte</w:t>
      </w:r>
      <w:r w:rsidR="00101C60">
        <w:rPr>
          <w:lang w:eastAsia="en-GB"/>
        </w:rPr>
        <w:t xml:space="preserve">d back to previous years, falling slightly from last year’s rate </w:t>
      </w:r>
      <w:r w:rsidRPr="00F26985">
        <w:rPr>
          <w:lang w:eastAsia="en-GB"/>
        </w:rPr>
        <w:t>and this will be monitored.</w:t>
      </w:r>
    </w:p>
    <w:p w:rsidRPr="00F26985" w:rsidR="00340B1D" w:rsidP="00340B1D" w:rsidRDefault="00340B1D" w14:paraId="73AAC9D8" w14:textId="77777777"/>
    <w:p w:rsidR="00340B1D" w:rsidP="00340B1D" w:rsidRDefault="00340B1D" w14:paraId="7A0E5B93" w14:textId="1EE732F0">
      <w:r w:rsidRPr="00F26985">
        <w:t>Table 1 – Admissions Reception Entry Applications of Harrow residents</w:t>
      </w:r>
    </w:p>
    <w:tbl>
      <w:tblPr>
        <w:tblW w:w="8907" w:type="dxa"/>
        <w:tblLook w:val="04A0" w:firstRow="1" w:lastRow="0" w:firstColumn="1" w:lastColumn="0" w:noHBand="0" w:noVBand="1"/>
      </w:tblPr>
      <w:tblGrid>
        <w:gridCol w:w="1220"/>
        <w:gridCol w:w="1146"/>
        <w:gridCol w:w="974"/>
        <w:gridCol w:w="767"/>
        <w:gridCol w:w="1180"/>
        <w:gridCol w:w="1280"/>
        <w:gridCol w:w="1280"/>
        <w:gridCol w:w="1060"/>
      </w:tblGrid>
      <w:tr w:rsidRPr="00621FBB" w:rsidR="00621FBB" w:rsidTr="00621FBB" w14:paraId="185B3A40" w14:textId="77777777">
        <w:trPr>
          <w:trHeight w:val="1200"/>
        </w:trPr>
        <w:tc>
          <w:tcPr>
            <w:tcW w:w="12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53E751D8" w14:textId="77777777">
            <w:pPr>
              <w:jc w:val="center"/>
              <w:rPr>
                <w:b/>
                <w:bCs/>
                <w:color w:val="000000"/>
                <w:sz w:val="22"/>
                <w:szCs w:val="22"/>
                <w:lang w:eastAsia="en-GB"/>
              </w:rPr>
            </w:pPr>
            <w:r w:rsidRPr="00621FBB">
              <w:rPr>
                <w:b/>
                <w:bCs/>
                <w:color w:val="000000"/>
                <w:sz w:val="22"/>
                <w:szCs w:val="22"/>
                <w:lang w:eastAsia="en-GB"/>
              </w:rPr>
              <w:t>Entry Year</w:t>
            </w:r>
          </w:p>
        </w:tc>
        <w:tc>
          <w:tcPr>
            <w:tcW w:w="1146" w:type="dxa"/>
            <w:tcBorders>
              <w:top w:val="single" w:color="auto" w:sz="4" w:space="0"/>
              <w:left w:val="nil"/>
              <w:bottom w:val="single" w:color="auto" w:sz="4" w:space="0"/>
              <w:right w:val="single" w:color="auto" w:sz="4" w:space="0"/>
            </w:tcBorders>
            <w:shd w:val="clear" w:color="auto" w:fill="auto"/>
            <w:noWrap/>
            <w:vAlign w:val="center"/>
            <w:hideMark/>
          </w:tcPr>
          <w:p w:rsidRPr="00621FBB" w:rsidR="00621FBB" w:rsidP="00621FBB" w:rsidRDefault="00621FBB" w14:paraId="6C3BBC3C" w14:textId="77777777">
            <w:pPr>
              <w:jc w:val="center"/>
              <w:rPr>
                <w:b/>
                <w:bCs/>
                <w:color w:val="000000"/>
                <w:sz w:val="22"/>
                <w:szCs w:val="22"/>
                <w:lang w:eastAsia="en-GB"/>
              </w:rPr>
            </w:pPr>
            <w:r w:rsidRPr="00621FBB">
              <w:rPr>
                <w:b/>
                <w:bCs/>
                <w:color w:val="000000"/>
                <w:sz w:val="22"/>
                <w:szCs w:val="22"/>
                <w:lang w:eastAsia="en-GB"/>
              </w:rPr>
              <w:t>On-time</w:t>
            </w:r>
          </w:p>
        </w:tc>
        <w:tc>
          <w:tcPr>
            <w:tcW w:w="974" w:type="dxa"/>
            <w:tcBorders>
              <w:top w:val="single" w:color="auto" w:sz="4" w:space="0"/>
              <w:left w:val="nil"/>
              <w:bottom w:val="single" w:color="auto" w:sz="4" w:space="0"/>
              <w:right w:val="single" w:color="auto" w:sz="4" w:space="0"/>
            </w:tcBorders>
            <w:shd w:val="clear" w:color="auto" w:fill="auto"/>
            <w:vAlign w:val="center"/>
            <w:hideMark/>
          </w:tcPr>
          <w:p w:rsidRPr="00621FBB" w:rsidR="00621FBB" w:rsidP="00621FBB" w:rsidRDefault="00621FBB" w14:paraId="4AB131CC" w14:textId="77777777">
            <w:pPr>
              <w:jc w:val="center"/>
              <w:rPr>
                <w:b/>
                <w:bCs/>
                <w:color w:val="000000"/>
                <w:sz w:val="22"/>
                <w:szCs w:val="22"/>
                <w:lang w:eastAsia="en-GB"/>
              </w:rPr>
            </w:pPr>
            <w:r w:rsidRPr="00621FBB">
              <w:rPr>
                <w:b/>
                <w:bCs/>
                <w:color w:val="000000"/>
                <w:sz w:val="22"/>
                <w:szCs w:val="22"/>
                <w:lang w:eastAsia="en-GB"/>
              </w:rPr>
              <w:t>Lates as at end of August</w:t>
            </w:r>
          </w:p>
        </w:tc>
        <w:tc>
          <w:tcPr>
            <w:tcW w:w="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0AD03D73" w14:textId="77777777">
            <w:pPr>
              <w:jc w:val="center"/>
              <w:rPr>
                <w:b/>
                <w:bCs/>
                <w:color w:val="000000"/>
                <w:sz w:val="22"/>
                <w:szCs w:val="22"/>
                <w:lang w:eastAsia="en-GB"/>
              </w:rPr>
            </w:pPr>
            <w:r w:rsidRPr="00621FBB">
              <w:rPr>
                <w:b/>
                <w:bCs/>
                <w:color w:val="000000"/>
                <w:sz w:val="22"/>
                <w:szCs w:val="22"/>
                <w:lang w:eastAsia="en-GB"/>
              </w:rPr>
              <w:t>Total</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621FBB" w:rsidR="00621FBB" w:rsidP="00621FBB" w:rsidRDefault="00621FBB" w14:paraId="71D20C30" w14:textId="77777777">
            <w:pPr>
              <w:jc w:val="center"/>
              <w:rPr>
                <w:b/>
                <w:bCs/>
                <w:color w:val="000000"/>
                <w:sz w:val="22"/>
                <w:szCs w:val="22"/>
                <w:lang w:eastAsia="en-GB"/>
              </w:rPr>
            </w:pPr>
            <w:r w:rsidRPr="00621FBB">
              <w:rPr>
                <w:b/>
                <w:bCs/>
                <w:color w:val="000000"/>
                <w:sz w:val="22"/>
                <w:szCs w:val="22"/>
                <w:lang w:eastAsia="en-GB"/>
              </w:rPr>
              <w:t>Increase</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21FBB" w:rsidR="00621FBB" w:rsidP="00621FBB" w:rsidRDefault="00621FBB" w14:paraId="222A7C1C" w14:textId="77777777">
            <w:pPr>
              <w:jc w:val="center"/>
              <w:rPr>
                <w:b/>
                <w:bCs/>
                <w:color w:val="000000"/>
                <w:sz w:val="22"/>
                <w:szCs w:val="22"/>
                <w:lang w:eastAsia="en-GB"/>
              </w:rPr>
            </w:pPr>
            <w:r w:rsidRPr="00621FBB">
              <w:rPr>
                <w:b/>
                <w:bCs/>
                <w:color w:val="000000"/>
                <w:sz w:val="22"/>
                <w:szCs w:val="22"/>
                <w:lang w:eastAsia="en-GB"/>
              </w:rPr>
              <w:t>% Increase from previous year</w:t>
            </w:r>
          </w:p>
        </w:tc>
        <w:tc>
          <w:tcPr>
            <w:tcW w:w="1280" w:type="dxa"/>
            <w:tcBorders>
              <w:top w:val="single" w:color="auto" w:sz="4" w:space="0"/>
              <w:left w:val="nil"/>
              <w:bottom w:val="single" w:color="auto" w:sz="4" w:space="0"/>
              <w:right w:val="single" w:color="auto" w:sz="4" w:space="0"/>
            </w:tcBorders>
            <w:shd w:val="clear" w:color="auto" w:fill="auto"/>
            <w:vAlign w:val="center"/>
            <w:hideMark/>
          </w:tcPr>
          <w:p w:rsidRPr="00621FBB" w:rsidR="00621FBB" w:rsidP="00621FBB" w:rsidRDefault="00621FBB" w14:paraId="52E7FC96" w14:textId="77777777">
            <w:pPr>
              <w:jc w:val="center"/>
              <w:rPr>
                <w:b/>
                <w:bCs/>
                <w:color w:val="000000"/>
                <w:sz w:val="22"/>
                <w:szCs w:val="22"/>
                <w:lang w:eastAsia="en-GB"/>
              </w:rPr>
            </w:pPr>
            <w:r w:rsidRPr="00621FBB">
              <w:rPr>
                <w:b/>
                <w:bCs/>
                <w:color w:val="000000"/>
                <w:sz w:val="22"/>
                <w:szCs w:val="22"/>
                <w:lang w:eastAsia="en-GB"/>
              </w:rPr>
              <w:t>January Census</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21FBB" w:rsidR="00621FBB" w:rsidP="00621FBB" w:rsidRDefault="00621FBB" w14:paraId="28D1EC19" w14:textId="77777777">
            <w:pPr>
              <w:jc w:val="center"/>
              <w:rPr>
                <w:b/>
                <w:bCs/>
                <w:color w:val="000000"/>
                <w:sz w:val="22"/>
                <w:szCs w:val="22"/>
                <w:lang w:eastAsia="en-GB"/>
              </w:rPr>
            </w:pPr>
            <w:r w:rsidRPr="00621FBB">
              <w:rPr>
                <w:b/>
                <w:bCs/>
                <w:color w:val="000000"/>
                <w:sz w:val="22"/>
                <w:szCs w:val="22"/>
                <w:lang w:eastAsia="en-GB"/>
              </w:rPr>
              <w:t>January Take Up Rate</w:t>
            </w:r>
          </w:p>
        </w:tc>
      </w:tr>
      <w:tr w:rsidRPr="00621FBB" w:rsidR="00621FBB" w:rsidTr="00621FBB" w14:paraId="08CA9E10" w14:textId="77777777">
        <w:trPr>
          <w:trHeight w:val="600"/>
        </w:trPr>
        <w:tc>
          <w:tcPr>
            <w:tcW w:w="1220" w:type="dxa"/>
            <w:vMerge/>
            <w:tcBorders>
              <w:top w:val="single" w:color="auto" w:sz="4" w:space="0"/>
              <w:left w:val="single" w:color="auto" w:sz="4" w:space="0"/>
              <w:bottom w:val="single" w:color="auto" w:sz="4" w:space="0"/>
              <w:right w:val="single" w:color="auto" w:sz="4" w:space="0"/>
            </w:tcBorders>
            <w:vAlign w:val="center"/>
            <w:hideMark/>
          </w:tcPr>
          <w:p w:rsidRPr="00621FBB" w:rsidR="00621FBB" w:rsidP="00621FBB" w:rsidRDefault="00621FBB" w14:paraId="7ED66171" w14:textId="77777777">
            <w:pPr>
              <w:rPr>
                <w:b/>
                <w:bCs/>
                <w:color w:val="000000"/>
                <w:sz w:val="22"/>
                <w:szCs w:val="22"/>
                <w:lang w:eastAsia="en-GB"/>
              </w:rPr>
            </w:pPr>
          </w:p>
        </w:tc>
        <w:tc>
          <w:tcPr>
            <w:tcW w:w="1146"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01653519" w14:textId="77777777">
            <w:pPr>
              <w:jc w:val="center"/>
              <w:rPr>
                <w:b/>
                <w:bCs/>
                <w:color w:val="000000"/>
                <w:sz w:val="22"/>
                <w:szCs w:val="22"/>
                <w:lang w:eastAsia="en-GB"/>
              </w:rPr>
            </w:pPr>
            <w:r w:rsidRPr="00621FBB">
              <w:rPr>
                <w:b/>
                <w:bCs/>
                <w:color w:val="000000"/>
                <w:sz w:val="22"/>
                <w:szCs w:val="22"/>
                <w:lang w:eastAsia="en-GB"/>
              </w:rPr>
              <w:t>January*</w:t>
            </w:r>
          </w:p>
        </w:tc>
        <w:tc>
          <w:tcPr>
            <w:tcW w:w="974" w:type="dxa"/>
            <w:tcBorders>
              <w:top w:val="nil"/>
              <w:left w:val="nil"/>
              <w:bottom w:val="single" w:color="auto" w:sz="4" w:space="0"/>
              <w:right w:val="single" w:color="auto" w:sz="4" w:space="0"/>
            </w:tcBorders>
            <w:shd w:val="clear" w:color="auto" w:fill="auto"/>
            <w:vAlign w:val="center"/>
            <w:hideMark/>
          </w:tcPr>
          <w:p w:rsidRPr="00621FBB" w:rsidR="00621FBB" w:rsidP="00621FBB" w:rsidRDefault="00621FBB" w14:paraId="22B2BC1A" w14:textId="77777777">
            <w:pPr>
              <w:jc w:val="center"/>
              <w:rPr>
                <w:b/>
                <w:bCs/>
                <w:color w:val="000000"/>
                <w:sz w:val="22"/>
                <w:szCs w:val="22"/>
                <w:lang w:eastAsia="en-GB"/>
              </w:rPr>
            </w:pPr>
            <w:r w:rsidRPr="00621FBB">
              <w:rPr>
                <w:b/>
                <w:bCs/>
                <w:color w:val="000000"/>
                <w:sz w:val="22"/>
                <w:szCs w:val="22"/>
                <w:lang w:eastAsia="en-GB"/>
              </w:rPr>
              <w:t>**</w:t>
            </w:r>
          </w:p>
        </w:tc>
        <w:tc>
          <w:tcPr>
            <w:tcW w:w="767" w:type="dxa"/>
            <w:vMerge/>
            <w:tcBorders>
              <w:top w:val="single" w:color="auto" w:sz="4" w:space="0"/>
              <w:left w:val="single" w:color="auto" w:sz="4" w:space="0"/>
              <w:bottom w:val="single" w:color="auto" w:sz="4" w:space="0"/>
              <w:right w:val="single" w:color="auto" w:sz="4" w:space="0"/>
            </w:tcBorders>
            <w:vAlign w:val="center"/>
            <w:hideMark/>
          </w:tcPr>
          <w:p w:rsidRPr="00621FBB" w:rsidR="00621FBB" w:rsidP="00621FBB" w:rsidRDefault="00621FBB" w14:paraId="3DE6F7E1" w14:textId="77777777">
            <w:pPr>
              <w:rPr>
                <w:b/>
                <w:bCs/>
                <w:color w:val="000000"/>
                <w:sz w:val="22"/>
                <w:szCs w:val="22"/>
                <w:lang w:eastAsia="en-GB"/>
              </w:rPr>
            </w:pPr>
          </w:p>
        </w:tc>
        <w:tc>
          <w:tcPr>
            <w:tcW w:w="1180" w:type="dxa"/>
            <w:tcBorders>
              <w:top w:val="nil"/>
              <w:left w:val="nil"/>
              <w:bottom w:val="single" w:color="auto" w:sz="4" w:space="0"/>
              <w:right w:val="single" w:color="auto" w:sz="4" w:space="0"/>
            </w:tcBorders>
            <w:shd w:val="clear" w:color="auto" w:fill="auto"/>
            <w:vAlign w:val="center"/>
            <w:hideMark/>
          </w:tcPr>
          <w:p w:rsidRPr="00621FBB" w:rsidR="00621FBB" w:rsidP="00621FBB" w:rsidRDefault="00621FBB" w14:paraId="60C04E30" w14:textId="77777777">
            <w:pPr>
              <w:jc w:val="center"/>
              <w:rPr>
                <w:b/>
                <w:bCs/>
                <w:color w:val="000000"/>
                <w:sz w:val="22"/>
                <w:szCs w:val="22"/>
                <w:lang w:eastAsia="en-GB"/>
              </w:rPr>
            </w:pPr>
            <w:r w:rsidRPr="00621FBB">
              <w:rPr>
                <w:b/>
                <w:bCs/>
                <w:color w:val="000000"/>
                <w:sz w:val="22"/>
                <w:szCs w:val="22"/>
                <w:lang w:eastAsia="en-GB"/>
              </w:rPr>
              <w:t>(Total)</w:t>
            </w:r>
          </w:p>
        </w:tc>
        <w:tc>
          <w:tcPr>
            <w:tcW w:w="1280" w:type="dxa"/>
            <w:vMerge/>
            <w:tcBorders>
              <w:top w:val="single" w:color="auto" w:sz="4" w:space="0"/>
              <w:left w:val="single" w:color="auto" w:sz="4" w:space="0"/>
              <w:bottom w:val="single" w:color="auto" w:sz="4" w:space="0"/>
              <w:right w:val="single" w:color="auto" w:sz="4" w:space="0"/>
            </w:tcBorders>
            <w:vAlign w:val="center"/>
            <w:hideMark/>
          </w:tcPr>
          <w:p w:rsidRPr="00621FBB" w:rsidR="00621FBB" w:rsidP="00621FBB" w:rsidRDefault="00621FBB" w14:paraId="4C8468B2" w14:textId="77777777">
            <w:pPr>
              <w:rPr>
                <w:b/>
                <w:bCs/>
                <w:color w:val="000000"/>
                <w:sz w:val="22"/>
                <w:szCs w:val="22"/>
                <w:lang w:eastAsia="en-GB"/>
              </w:rPr>
            </w:pPr>
          </w:p>
        </w:tc>
        <w:tc>
          <w:tcPr>
            <w:tcW w:w="1280" w:type="dxa"/>
            <w:tcBorders>
              <w:top w:val="nil"/>
              <w:left w:val="nil"/>
              <w:bottom w:val="single" w:color="auto" w:sz="4" w:space="0"/>
              <w:right w:val="single" w:color="auto" w:sz="4" w:space="0"/>
            </w:tcBorders>
            <w:shd w:val="clear" w:color="auto" w:fill="auto"/>
            <w:vAlign w:val="center"/>
            <w:hideMark/>
          </w:tcPr>
          <w:p w:rsidRPr="00621FBB" w:rsidR="00621FBB" w:rsidP="00621FBB" w:rsidRDefault="00621FBB" w14:paraId="0EB145AA" w14:textId="77777777">
            <w:pPr>
              <w:jc w:val="center"/>
              <w:rPr>
                <w:b/>
                <w:bCs/>
                <w:color w:val="000000"/>
                <w:sz w:val="22"/>
                <w:szCs w:val="22"/>
                <w:lang w:eastAsia="en-GB"/>
              </w:rPr>
            </w:pPr>
            <w:r w:rsidRPr="00621FBB">
              <w:rPr>
                <w:b/>
                <w:bCs/>
                <w:color w:val="000000"/>
                <w:sz w:val="22"/>
                <w:szCs w:val="22"/>
                <w:lang w:eastAsia="en-GB"/>
              </w:rPr>
              <w:t>Reception</w:t>
            </w:r>
          </w:p>
        </w:tc>
        <w:tc>
          <w:tcPr>
            <w:tcW w:w="1060" w:type="dxa"/>
            <w:vMerge/>
            <w:tcBorders>
              <w:top w:val="single" w:color="auto" w:sz="4" w:space="0"/>
              <w:left w:val="single" w:color="auto" w:sz="4" w:space="0"/>
              <w:bottom w:val="single" w:color="auto" w:sz="4" w:space="0"/>
              <w:right w:val="single" w:color="auto" w:sz="4" w:space="0"/>
            </w:tcBorders>
            <w:vAlign w:val="center"/>
            <w:hideMark/>
          </w:tcPr>
          <w:p w:rsidRPr="00621FBB" w:rsidR="00621FBB" w:rsidP="00621FBB" w:rsidRDefault="00621FBB" w14:paraId="41CA4BCC" w14:textId="77777777">
            <w:pPr>
              <w:rPr>
                <w:b/>
                <w:bCs/>
                <w:color w:val="000000"/>
                <w:sz w:val="22"/>
                <w:szCs w:val="22"/>
                <w:lang w:eastAsia="en-GB"/>
              </w:rPr>
            </w:pPr>
          </w:p>
        </w:tc>
      </w:tr>
      <w:tr w:rsidRPr="00621FBB" w:rsidR="00621FBB" w:rsidTr="00621FBB" w14:paraId="6097B38E" w14:textId="77777777">
        <w:trPr>
          <w:trHeight w:val="300"/>
        </w:trPr>
        <w:tc>
          <w:tcPr>
            <w:tcW w:w="1220" w:type="dxa"/>
            <w:tcBorders>
              <w:top w:val="nil"/>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601E9431" w14:textId="77777777">
            <w:pPr>
              <w:jc w:val="center"/>
              <w:rPr>
                <w:color w:val="000000"/>
                <w:sz w:val="22"/>
                <w:szCs w:val="22"/>
                <w:lang w:eastAsia="en-GB"/>
              </w:rPr>
            </w:pPr>
            <w:r w:rsidRPr="00621FBB">
              <w:rPr>
                <w:color w:val="000000"/>
                <w:sz w:val="22"/>
                <w:szCs w:val="22"/>
                <w:lang w:eastAsia="en-GB"/>
              </w:rPr>
              <w:t>Sep-12</w:t>
            </w:r>
          </w:p>
        </w:tc>
        <w:tc>
          <w:tcPr>
            <w:tcW w:w="1146"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1028077A" w14:textId="77777777">
            <w:pPr>
              <w:jc w:val="center"/>
              <w:rPr>
                <w:color w:val="000000"/>
                <w:sz w:val="22"/>
                <w:szCs w:val="22"/>
                <w:lang w:eastAsia="en-GB"/>
              </w:rPr>
            </w:pPr>
            <w:r w:rsidRPr="00621FBB">
              <w:rPr>
                <w:color w:val="000000"/>
                <w:sz w:val="22"/>
                <w:szCs w:val="22"/>
                <w:lang w:eastAsia="en-GB"/>
              </w:rPr>
              <w:t>2,796</w:t>
            </w:r>
          </w:p>
        </w:tc>
        <w:tc>
          <w:tcPr>
            <w:tcW w:w="974"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6AB38778" w14:textId="77777777">
            <w:pPr>
              <w:jc w:val="center"/>
              <w:rPr>
                <w:color w:val="000000"/>
                <w:sz w:val="22"/>
                <w:szCs w:val="22"/>
                <w:lang w:eastAsia="en-GB"/>
              </w:rPr>
            </w:pPr>
            <w:r w:rsidRPr="00621FBB">
              <w:rPr>
                <w:color w:val="000000"/>
                <w:sz w:val="22"/>
                <w:szCs w:val="22"/>
                <w:lang w:eastAsia="en-GB"/>
              </w:rPr>
              <w:t>318</w:t>
            </w:r>
          </w:p>
        </w:tc>
        <w:tc>
          <w:tcPr>
            <w:tcW w:w="767"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0460F09F" w14:textId="77777777">
            <w:pPr>
              <w:jc w:val="center"/>
              <w:rPr>
                <w:color w:val="000000"/>
                <w:sz w:val="22"/>
                <w:szCs w:val="22"/>
                <w:lang w:eastAsia="en-GB"/>
              </w:rPr>
            </w:pPr>
            <w:r w:rsidRPr="00621FBB">
              <w:rPr>
                <w:color w:val="000000"/>
                <w:sz w:val="22"/>
                <w:szCs w:val="22"/>
                <w:lang w:eastAsia="en-GB"/>
              </w:rPr>
              <w:t>3,114</w:t>
            </w:r>
          </w:p>
        </w:tc>
        <w:tc>
          <w:tcPr>
            <w:tcW w:w="11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15FBB811" w14:textId="77777777">
            <w:pPr>
              <w:jc w:val="center"/>
              <w:rPr>
                <w:color w:val="000000"/>
                <w:sz w:val="22"/>
                <w:szCs w:val="22"/>
                <w:lang w:eastAsia="en-GB"/>
              </w:rPr>
            </w:pPr>
            <w:r w:rsidRPr="00621FBB">
              <w:rPr>
                <w:color w:val="000000"/>
                <w:sz w:val="22"/>
                <w:szCs w:val="22"/>
                <w:lang w:eastAsia="en-GB"/>
              </w:rPr>
              <w:t>-</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74D10F68" w14:textId="77777777">
            <w:pPr>
              <w:jc w:val="center"/>
              <w:rPr>
                <w:color w:val="000000"/>
                <w:sz w:val="22"/>
                <w:szCs w:val="22"/>
                <w:lang w:eastAsia="en-GB"/>
              </w:rPr>
            </w:pPr>
            <w:r w:rsidRPr="00621FBB">
              <w:rPr>
                <w:color w:val="000000"/>
                <w:sz w:val="22"/>
                <w:szCs w:val="22"/>
                <w:lang w:eastAsia="en-GB"/>
              </w:rPr>
              <w:t>-</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13490192" w14:textId="77777777">
            <w:pPr>
              <w:jc w:val="center"/>
              <w:rPr>
                <w:color w:val="000000"/>
                <w:sz w:val="22"/>
                <w:szCs w:val="22"/>
                <w:lang w:eastAsia="en-GB"/>
              </w:rPr>
            </w:pPr>
            <w:r w:rsidRPr="00621FBB">
              <w:rPr>
                <w:color w:val="000000"/>
                <w:sz w:val="22"/>
                <w:szCs w:val="22"/>
                <w:lang w:eastAsia="en-GB"/>
              </w:rPr>
              <w:t>2,879</w:t>
            </w:r>
          </w:p>
        </w:tc>
        <w:tc>
          <w:tcPr>
            <w:tcW w:w="106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72CDEA05" w14:textId="77777777">
            <w:pPr>
              <w:jc w:val="center"/>
              <w:rPr>
                <w:color w:val="000000"/>
                <w:sz w:val="22"/>
                <w:szCs w:val="22"/>
                <w:lang w:eastAsia="en-GB"/>
              </w:rPr>
            </w:pPr>
            <w:r w:rsidRPr="00621FBB">
              <w:rPr>
                <w:color w:val="000000"/>
                <w:sz w:val="22"/>
                <w:szCs w:val="22"/>
                <w:lang w:eastAsia="en-GB"/>
              </w:rPr>
              <w:t>92.5%</w:t>
            </w:r>
          </w:p>
        </w:tc>
      </w:tr>
      <w:tr w:rsidRPr="00621FBB" w:rsidR="00621FBB" w:rsidTr="00621FBB" w14:paraId="5ACCEFDD" w14:textId="77777777">
        <w:trPr>
          <w:trHeight w:val="300"/>
        </w:trPr>
        <w:tc>
          <w:tcPr>
            <w:tcW w:w="1220" w:type="dxa"/>
            <w:tcBorders>
              <w:top w:val="nil"/>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36D04499" w14:textId="77777777">
            <w:pPr>
              <w:jc w:val="center"/>
              <w:rPr>
                <w:color w:val="000000"/>
                <w:sz w:val="22"/>
                <w:szCs w:val="22"/>
                <w:lang w:eastAsia="en-GB"/>
              </w:rPr>
            </w:pPr>
            <w:r w:rsidRPr="00621FBB">
              <w:rPr>
                <w:color w:val="000000"/>
                <w:sz w:val="22"/>
                <w:szCs w:val="22"/>
                <w:lang w:eastAsia="en-GB"/>
              </w:rPr>
              <w:t>Sep-13</w:t>
            </w:r>
          </w:p>
        </w:tc>
        <w:tc>
          <w:tcPr>
            <w:tcW w:w="1146"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6EE47EA4" w14:textId="77777777">
            <w:pPr>
              <w:jc w:val="center"/>
              <w:rPr>
                <w:color w:val="000000"/>
                <w:sz w:val="22"/>
                <w:szCs w:val="22"/>
                <w:lang w:eastAsia="en-GB"/>
              </w:rPr>
            </w:pPr>
            <w:r w:rsidRPr="00621FBB">
              <w:rPr>
                <w:color w:val="000000"/>
                <w:sz w:val="22"/>
                <w:szCs w:val="22"/>
                <w:lang w:eastAsia="en-GB"/>
              </w:rPr>
              <w:t>2,991</w:t>
            </w:r>
          </w:p>
        </w:tc>
        <w:tc>
          <w:tcPr>
            <w:tcW w:w="974"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EDB4A58" w14:textId="77777777">
            <w:pPr>
              <w:jc w:val="center"/>
              <w:rPr>
                <w:color w:val="000000"/>
                <w:sz w:val="22"/>
                <w:szCs w:val="22"/>
                <w:lang w:eastAsia="en-GB"/>
              </w:rPr>
            </w:pPr>
            <w:r w:rsidRPr="00621FBB">
              <w:rPr>
                <w:color w:val="000000"/>
                <w:sz w:val="22"/>
                <w:szCs w:val="22"/>
                <w:lang w:eastAsia="en-GB"/>
              </w:rPr>
              <w:t>330</w:t>
            </w:r>
          </w:p>
        </w:tc>
        <w:tc>
          <w:tcPr>
            <w:tcW w:w="767"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DBFFA0B" w14:textId="77777777">
            <w:pPr>
              <w:jc w:val="center"/>
              <w:rPr>
                <w:color w:val="000000"/>
                <w:sz w:val="22"/>
                <w:szCs w:val="22"/>
                <w:lang w:eastAsia="en-GB"/>
              </w:rPr>
            </w:pPr>
            <w:r w:rsidRPr="00621FBB">
              <w:rPr>
                <w:color w:val="000000"/>
                <w:sz w:val="22"/>
                <w:szCs w:val="22"/>
                <w:lang w:eastAsia="en-GB"/>
              </w:rPr>
              <w:t>3,321</w:t>
            </w:r>
          </w:p>
        </w:tc>
        <w:tc>
          <w:tcPr>
            <w:tcW w:w="11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58E85D4C" w14:textId="77777777">
            <w:pPr>
              <w:jc w:val="center"/>
              <w:rPr>
                <w:color w:val="000000"/>
                <w:sz w:val="22"/>
                <w:szCs w:val="22"/>
                <w:lang w:eastAsia="en-GB"/>
              </w:rPr>
            </w:pPr>
            <w:r w:rsidRPr="00621FBB">
              <w:rPr>
                <w:color w:val="000000"/>
                <w:sz w:val="22"/>
                <w:szCs w:val="22"/>
                <w:lang w:eastAsia="en-GB"/>
              </w:rPr>
              <w:t>207</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65501CA0" w14:textId="77777777">
            <w:pPr>
              <w:jc w:val="center"/>
              <w:rPr>
                <w:color w:val="000000"/>
                <w:sz w:val="22"/>
                <w:szCs w:val="22"/>
                <w:lang w:eastAsia="en-GB"/>
              </w:rPr>
            </w:pPr>
            <w:r w:rsidRPr="00621FBB">
              <w:rPr>
                <w:color w:val="000000"/>
                <w:sz w:val="22"/>
                <w:szCs w:val="22"/>
                <w:lang w:eastAsia="en-GB"/>
              </w:rPr>
              <w:t>6.65%</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D67152B" w14:textId="77777777">
            <w:pPr>
              <w:jc w:val="center"/>
              <w:rPr>
                <w:color w:val="000000"/>
                <w:sz w:val="22"/>
                <w:szCs w:val="22"/>
                <w:lang w:eastAsia="en-GB"/>
              </w:rPr>
            </w:pPr>
            <w:r w:rsidRPr="00621FBB">
              <w:rPr>
                <w:color w:val="000000"/>
                <w:sz w:val="22"/>
                <w:szCs w:val="22"/>
                <w:lang w:eastAsia="en-GB"/>
              </w:rPr>
              <w:t>3,029</w:t>
            </w:r>
          </w:p>
        </w:tc>
        <w:tc>
          <w:tcPr>
            <w:tcW w:w="106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06A3F3CF" w14:textId="77777777">
            <w:pPr>
              <w:jc w:val="center"/>
              <w:rPr>
                <w:color w:val="000000"/>
                <w:sz w:val="22"/>
                <w:szCs w:val="22"/>
                <w:lang w:eastAsia="en-GB"/>
              </w:rPr>
            </w:pPr>
            <w:r w:rsidRPr="00621FBB">
              <w:rPr>
                <w:color w:val="000000"/>
                <w:sz w:val="22"/>
                <w:szCs w:val="22"/>
                <w:lang w:eastAsia="en-GB"/>
              </w:rPr>
              <w:t>91.2%</w:t>
            </w:r>
          </w:p>
        </w:tc>
      </w:tr>
      <w:tr w:rsidRPr="00621FBB" w:rsidR="00621FBB" w:rsidTr="00621FBB" w14:paraId="43AD981D" w14:textId="77777777">
        <w:trPr>
          <w:trHeight w:val="300"/>
        </w:trPr>
        <w:tc>
          <w:tcPr>
            <w:tcW w:w="1220" w:type="dxa"/>
            <w:tcBorders>
              <w:top w:val="nil"/>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031ADCD0" w14:textId="77777777">
            <w:pPr>
              <w:jc w:val="center"/>
              <w:rPr>
                <w:color w:val="000000"/>
                <w:sz w:val="22"/>
                <w:szCs w:val="22"/>
                <w:lang w:eastAsia="en-GB"/>
              </w:rPr>
            </w:pPr>
            <w:r w:rsidRPr="00621FBB">
              <w:rPr>
                <w:color w:val="000000"/>
                <w:sz w:val="22"/>
                <w:szCs w:val="22"/>
                <w:lang w:eastAsia="en-GB"/>
              </w:rPr>
              <w:t>Sep-14</w:t>
            </w:r>
          </w:p>
        </w:tc>
        <w:tc>
          <w:tcPr>
            <w:tcW w:w="1146"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3895BDC7" w14:textId="77777777">
            <w:pPr>
              <w:jc w:val="center"/>
              <w:rPr>
                <w:color w:val="000000"/>
                <w:sz w:val="22"/>
                <w:szCs w:val="22"/>
                <w:lang w:eastAsia="en-GB"/>
              </w:rPr>
            </w:pPr>
            <w:r w:rsidRPr="00621FBB">
              <w:rPr>
                <w:color w:val="000000"/>
                <w:sz w:val="22"/>
                <w:szCs w:val="22"/>
                <w:lang w:eastAsia="en-GB"/>
              </w:rPr>
              <w:t>3,210</w:t>
            </w:r>
          </w:p>
        </w:tc>
        <w:tc>
          <w:tcPr>
            <w:tcW w:w="974"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639E4732" w14:textId="77777777">
            <w:pPr>
              <w:jc w:val="center"/>
              <w:rPr>
                <w:color w:val="000000"/>
                <w:sz w:val="22"/>
                <w:szCs w:val="22"/>
                <w:lang w:eastAsia="en-GB"/>
              </w:rPr>
            </w:pPr>
            <w:r w:rsidRPr="00621FBB">
              <w:rPr>
                <w:color w:val="000000"/>
                <w:sz w:val="22"/>
                <w:szCs w:val="22"/>
                <w:lang w:eastAsia="en-GB"/>
              </w:rPr>
              <w:t>238</w:t>
            </w:r>
          </w:p>
        </w:tc>
        <w:tc>
          <w:tcPr>
            <w:tcW w:w="767"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A1E3A15" w14:textId="77777777">
            <w:pPr>
              <w:jc w:val="center"/>
              <w:rPr>
                <w:color w:val="000000"/>
                <w:sz w:val="22"/>
                <w:szCs w:val="22"/>
                <w:lang w:eastAsia="en-GB"/>
              </w:rPr>
            </w:pPr>
            <w:r w:rsidRPr="00621FBB">
              <w:rPr>
                <w:color w:val="000000"/>
                <w:sz w:val="22"/>
                <w:szCs w:val="22"/>
                <w:lang w:eastAsia="en-GB"/>
              </w:rPr>
              <w:t>3,448</w:t>
            </w:r>
          </w:p>
        </w:tc>
        <w:tc>
          <w:tcPr>
            <w:tcW w:w="11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04A70735" w14:textId="77777777">
            <w:pPr>
              <w:jc w:val="center"/>
              <w:rPr>
                <w:color w:val="000000"/>
                <w:sz w:val="22"/>
                <w:szCs w:val="22"/>
                <w:lang w:eastAsia="en-GB"/>
              </w:rPr>
            </w:pPr>
            <w:r w:rsidRPr="00621FBB">
              <w:rPr>
                <w:color w:val="000000"/>
                <w:sz w:val="22"/>
                <w:szCs w:val="22"/>
                <w:lang w:eastAsia="en-GB"/>
              </w:rPr>
              <w:t>127</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16CC2BFC" w14:textId="77777777">
            <w:pPr>
              <w:jc w:val="center"/>
              <w:rPr>
                <w:color w:val="000000"/>
                <w:sz w:val="22"/>
                <w:szCs w:val="22"/>
                <w:lang w:eastAsia="en-GB"/>
              </w:rPr>
            </w:pPr>
            <w:r w:rsidRPr="00621FBB">
              <w:rPr>
                <w:color w:val="000000"/>
                <w:sz w:val="22"/>
                <w:szCs w:val="22"/>
                <w:lang w:eastAsia="en-GB"/>
              </w:rPr>
              <w:t>3.82%</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31C03113" w14:textId="77777777">
            <w:pPr>
              <w:jc w:val="center"/>
              <w:rPr>
                <w:color w:val="000000"/>
                <w:sz w:val="22"/>
                <w:szCs w:val="22"/>
                <w:lang w:eastAsia="en-GB"/>
              </w:rPr>
            </w:pPr>
            <w:r w:rsidRPr="00621FBB">
              <w:rPr>
                <w:color w:val="000000"/>
                <w:sz w:val="22"/>
                <w:szCs w:val="22"/>
                <w:lang w:eastAsia="en-GB"/>
              </w:rPr>
              <w:t>3,251</w:t>
            </w:r>
          </w:p>
        </w:tc>
        <w:tc>
          <w:tcPr>
            <w:tcW w:w="106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3527672A" w14:textId="77777777">
            <w:pPr>
              <w:jc w:val="center"/>
              <w:rPr>
                <w:color w:val="000000"/>
                <w:sz w:val="22"/>
                <w:szCs w:val="22"/>
                <w:lang w:eastAsia="en-GB"/>
              </w:rPr>
            </w:pPr>
            <w:r w:rsidRPr="00621FBB">
              <w:rPr>
                <w:color w:val="000000"/>
                <w:sz w:val="22"/>
                <w:szCs w:val="22"/>
                <w:lang w:eastAsia="en-GB"/>
              </w:rPr>
              <w:t>94.3%</w:t>
            </w:r>
          </w:p>
        </w:tc>
      </w:tr>
      <w:tr w:rsidRPr="00621FBB" w:rsidR="00621FBB" w:rsidTr="00621FBB" w14:paraId="191DFFC1" w14:textId="77777777">
        <w:trPr>
          <w:trHeight w:val="300"/>
        </w:trPr>
        <w:tc>
          <w:tcPr>
            <w:tcW w:w="1220" w:type="dxa"/>
            <w:tcBorders>
              <w:top w:val="nil"/>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75B172EA" w14:textId="77777777">
            <w:pPr>
              <w:jc w:val="center"/>
              <w:rPr>
                <w:color w:val="000000"/>
                <w:sz w:val="22"/>
                <w:szCs w:val="22"/>
                <w:lang w:eastAsia="en-GB"/>
              </w:rPr>
            </w:pPr>
            <w:r w:rsidRPr="00621FBB">
              <w:rPr>
                <w:color w:val="000000"/>
                <w:sz w:val="22"/>
                <w:szCs w:val="22"/>
                <w:lang w:eastAsia="en-GB"/>
              </w:rPr>
              <w:t>Sep-15</w:t>
            </w:r>
          </w:p>
        </w:tc>
        <w:tc>
          <w:tcPr>
            <w:tcW w:w="1146"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339267CE" w14:textId="77777777">
            <w:pPr>
              <w:jc w:val="center"/>
              <w:rPr>
                <w:color w:val="000000"/>
                <w:sz w:val="22"/>
                <w:szCs w:val="22"/>
                <w:lang w:eastAsia="en-GB"/>
              </w:rPr>
            </w:pPr>
            <w:r w:rsidRPr="00621FBB">
              <w:rPr>
                <w:color w:val="000000"/>
                <w:sz w:val="22"/>
                <w:szCs w:val="22"/>
                <w:lang w:eastAsia="en-GB"/>
              </w:rPr>
              <w:t>3,126</w:t>
            </w:r>
          </w:p>
        </w:tc>
        <w:tc>
          <w:tcPr>
            <w:tcW w:w="974"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12A519CA" w14:textId="77777777">
            <w:pPr>
              <w:jc w:val="center"/>
              <w:rPr>
                <w:color w:val="000000"/>
                <w:sz w:val="22"/>
                <w:szCs w:val="22"/>
                <w:lang w:eastAsia="en-GB"/>
              </w:rPr>
            </w:pPr>
            <w:r w:rsidRPr="00621FBB">
              <w:rPr>
                <w:color w:val="000000"/>
                <w:sz w:val="22"/>
                <w:szCs w:val="22"/>
                <w:lang w:eastAsia="en-GB"/>
              </w:rPr>
              <w:t>288</w:t>
            </w:r>
          </w:p>
        </w:tc>
        <w:tc>
          <w:tcPr>
            <w:tcW w:w="767"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62DB0697" w14:textId="77777777">
            <w:pPr>
              <w:jc w:val="center"/>
              <w:rPr>
                <w:color w:val="000000"/>
                <w:sz w:val="22"/>
                <w:szCs w:val="22"/>
                <w:lang w:eastAsia="en-GB"/>
              </w:rPr>
            </w:pPr>
            <w:r w:rsidRPr="00621FBB">
              <w:rPr>
                <w:color w:val="000000"/>
                <w:sz w:val="22"/>
                <w:szCs w:val="22"/>
                <w:lang w:eastAsia="en-GB"/>
              </w:rPr>
              <w:t>3,414</w:t>
            </w:r>
          </w:p>
        </w:tc>
        <w:tc>
          <w:tcPr>
            <w:tcW w:w="11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0798AF24" w14:textId="77777777">
            <w:pPr>
              <w:jc w:val="center"/>
              <w:rPr>
                <w:color w:val="000000"/>
                <w:sz w:val="22"/>
                <w:szCs w:val="22"/>
                <w:lang w:eastAsia="en-GB"/>
              </w:rPr>
            </w:pPr>
            <w:r w:rsidRPr="00621FBB">
              <w:rPr>
                <w:color w:val="000000"/>
                <w:sz w:val="22"/>
                <w:szCs w:val="22"/>
                <w:lang w:eastAsia="en-GB"/>
              </w:rPr>
              <w:t>-34</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0783BB38" w14:textId="77777777">
            <w:pPr>
              <w:jc w:val="center"/>
              <w:rPr>
                <w:color w:val="000000"/>
                <w:sz w:val="22"/>
                <w:szCs w:val="22"/>
                <w:lang w:eastAsia="en-GB"/>
              </w:rPr>
            </w:pPr>
            <w:r w:rsidRPr="00621FBB">
              <w:rPr>
                <w:color w:val="000000"/>
                <w:sz w:val="22"/>
                <w:szCs w:val="22"/>
                <w:lang w:eastAsia="en-GB"/>
              </w:rPr>
              <w:t>-0.99%</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63B1FD3A" w14:textId="77777777">
            <w:pPr>
              <w:jc w:val="center"/>
              <w:rPr>
                <w:color w:val="000000"/>
                <w:sz w:val="22"/>
                <w:szCs w:val="22"/>
                <w:lang w:eastAsia="en-GB"/>
              </w:rPr>
            </w:pPr>
            <w:r w:rsidRPr="00621FBB">
              <w:rPr>
                <w:color w:val="000000"/>
                <w:sz w:val="22"/>
                <w:szCs w:val="22"/>
                <w:lang w:eastAsia="en-GB"/>
              </w:rPr>
              <w:t>3,195</w:t>
            </w:r>
          </w:p>
        </w:tc>
        <w:tc>
          <w:tcPr>
            <w:tcW w:w="106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3E4C8884" w14:textId="77777777">
            <w:pPr>
              <w:jc w:val="center"/>
              <w:rPr>
                <w:color w:val="000000"/>
                <w:sz w:val="22"/>
                <w:szCs w:val="22"/>
                <w:lang w:eastAsia="en-GB"/>
              </w:rPr>
            </w:pPr>
            <w:r w:rsidRPr="00621FBB">
              <w:rPr>
                <w:color w:val="000000"/>
                <w:sz w:val="22"/>
                <w:szCs w:val="22"/>
                <w:lang w:eastAsia="en-GB"/>
              </w:rPr>
              <w:t>93.6%</w:t>
            </w:r>
          </w:p>
        </w:tc>
      </w:tr>
      <w:tr w:rsidRPr="00621FBB" w:rsidR="00621FBB" w:rsidTr="00621FBB" w14:paraId="67CEE6DA" w14:textId="77777777">
        <w:trPr>
          <w:trHeight w:val="300"/>
        </w:trPr>
        <w:tc>
          <w:tcPr>
            <w:tcW w:w="1220" w:type="dxa"/>
            <w:tcBorders>
              <w:top w:val="nil"/>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2EE953C0" w14:textId="77777777">
            <w:pPr>
              <w:jc w:val="center"/>
              <w:rPr>
                <w:color w:val="000000"/>
                <w:sz w:val="22"/>
                <w:szCs w:val="22"/>
                <w:lang w:eastAsia="en-GB"/>
              </w:rPr>
            </w:pPr>
            <w:r w:rsidRPr="00621FBB">
              <w:rPr>
                <w:color w:val="000000"/>
                <w:sz w:val="22"/>
                <w:szCs w:val="22"/>
                <w:lang w:eastAsia="en-GB"/>
              </w:rPr>
              <w:t>Sep-16</w:t>
            </w:r>
          </w:p>
        </w:tc>
        <w:tc>
          <w:tcPr>
            <w:tcW w:w="1146"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83EAEE9" w14:textId="77777777">
            <w:pPr>
              <w:jc w:val="center"/>
              <w:rPr>
                <w:color w:val="000000"/>
                <w:sz w:val="22"/>
                <w:szCs w:val="22"/>
                <w:lang w:eastAsia="en-GB"/>
              </w:rPr>
            </w:pPr>
            <w:r w:rsidRPr="00621FBB">
              <w:rPr>
                <w:color w:val="000000"/>
                <w:sz w:val="22"/>
                <w:szCs w:val="22"/>
                <w:lang w:eastAsia="en-GB"/>
              </w:rPr>
              <w:t>3,175</w:t>
            </w:r>
          </w:p>
        </w:tc>
        <w:tc>
          <w:tcPr>
            <w:tcW w:w="974"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27C90965" w14:textId="77777777">
            <w:pPr>
              <w:jc w:val="center"/>
              <w:rPr>
                <w:color w:val="000000"/>
                <w:sz w:val="22"/>
                <w:szCs w:val="22"/>
                <w:lang w:eastAsia="en-GB"/>
              </w:rPr>
            </w:pPr>
            <w:r w:rsidRPr="00621FBB">
              <w:rPr>
                <w:color w:val="000000"/>
                <w:sz w:val="22"/>
                <w:szCs w:val="22"/>
                <w:lang w:eastAsia="en-GB"/>
              </w:rPr>
              <w:t>264</w:t>
            </w:r>
          </w:p>
        </w:tc>
        <w:tc>
          <w:tcPr>
            <w:tcW w:w="767"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667A3EFB" w14:textId="77777777">
            <w:pPr>
              <w:jc w:val="center"/>
              <w:rPr>
                <w:color w:val="000000"/>
                <w:sz w:val="22"/>
                <w:szCs w:val="22"/>
                <w:lang w:eastAsia="en-GB"/>
              </w:rPr>
            </w:pPr>
            <w:r w:rsidRPr="00621FBB">
              <w:rPr>
                <w:color w:val="000000"/>
                <w:sz w:val="22"/>
                <w:szCs w:val="22"/>
                <w:lang w:eastAsia="en-GB"/>
              </w:rPr>
              <w:t>3,439</w:t>
            </w:r>
          </w:p>
        </w:tc>
        <w:tc>
          <w:tcPr>
            <w:tcW w:w="11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7ACF1479" w14:textId="77777777">
            <w:pPr>
              <w:jc w:val="center"/>
              <w:rPr>
                <w:color w:val="000000"/>
                <w:sz w:val="22"/>
                <w:szCs w:val="22"/>
                <w:lang w:eastAsia="en-GB"/>
              </w:rPr>
            </w:pPr>
            <w:r w:rsidRPr="00621FBB">
              <w:rPr>
                <w:color w:val="000000"/>
                <w:sz w:val="22"/>
                <w:szCs w:val="22"/>
                <w:lang w:eastAsia="en-GB"/>
              </w:rPr>
              <w:t>25</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7551585F" w14:textId="77777777">
            <w:pPr>
              <w:jc w:val="center"/>
              <w:rPr>
                <w:color w:val="000000"/>
                <w:sz w:val="22"/>
                <w:szCs w:val="22"/>
                <w:lang w:eastAsia="en-GB"/>
              </w:rPr>
            </w:pPr>
            <w:r w:rsidRPr="00621FBB">
              <w:rPr>
                <w:color w:val="000000"/>
                <w:sz w:val="22"/>
                <w:szCs w:val="22"/>
                <w:lang w:eastAsia="en-GB"/>
              </w:rPr>
              <w:t>0.73%</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CB81C70" w14:textId="77777777">
            <w:pPr>
              <w:jc w:val="center"/>
              <w:rPr>
                <w:color w:val="000000"/>
                <w:sz w:val="22"/>
                <w:szCs w:val="22"/>
                <w:lang w:eastAsia="en-GB"/>
              </w:rPr>
            </w:pPr>
            <w:r w:rsidRPr="00621FBB">
              <w:rPr>
                <w:color w:val="000000"/>
                <w:sz w:val="22"/>
                <w:szCs w:val="22"/>
                <w:lang w:eastAsia="en-GB"/>
              </w:rPr>
              <w:t>3,154</w:t>
            </w:r>
          </w:p>
        </w:tc>
        <w:tc>
          <w:tcPr>
            <w:tcW w:w="106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E27CC21" w14:textId="77777777">
            <w:pPr>
              <w:jc w:val="center"/>
              <w:rPr>
                <w:color w:val="000000"/>
                <w:sz w:val="22"/>
                <w:szCs w:val="22"/>
                <w:lang w:eastAsia="en-GB"/>
              </w:rPr>
            </w:pPr>
            <w:r w:rsidRPr="00621FBB">
              <w:rPr>
                <w:color w:val="000000"/>
                <w:sz w:val="22"/>
                <w:szCs w:val="22"/>
                <w:lang w:eastAsia="en-GB"/>
              </w:rPr>
              <w:t>91.7%</w:t>
            </w:r>
          </w:p>
        </w:tc>
      </w:tr>
      <w:tr w:rsidRPr="00621FBB" w:rsidR="00621FBB" w:rsidTr="00621FBB" w14:paraId="6EBE0502" w14:textId="77777777">
        <w:trPr>
          <w:trHeight w:val="300"/>
        </w:trPr>
        <w:tc>
          <w:tcPr>
            <w:tcW w:w="1220" w:type="dxa"/>
            <w:tcBorders>
              <w:top w:val="nil"/>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077B235F" w14:textId="77777777">
            <w:pPr>
              <w:jc w:val="center"/>
              <w:rPr>
                <w:color w:val="000000"/>
                <w:sz w:val="22"/>
                <w:szCs w:val="22"/>
                <w:lang w:eastAsia="en-GB"/>
              </w:rPr>
            </w:pPr>
            <w:r w:rsidRPr="00621FBB">
              <w:rPr>
                <w:color w:val="000000"/>
                <w:sz w:val="22"/>
                <w:szCs w:val="22"/>
                <w:lang w:eastAsia="en-GB"/>
              </w:rPr>
              <w:t>Sep-17</w:t>
            </w:r>
          </w:p>
        </w:tc>
        <w:tc>
          <w:tcPr>
            <w:tcW w:w="1146"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1A08B5C0" w14:textId="77777777">
            <w:pPr>
              <w:jc w:val="center"/>
              <w:rPr>
                <w:color w:val="000000"/>
                <w:sz w:val="22"/>
                <w:szCs w:val="22"/>
                <w:lang w:eastAsia="en-GB"/>
              </w:rPr>
            </w:pPr>
            <w:r w:rsidRPr="00621FBB">
              <w:rPr>
                <w:color w:val="000000"/>
                <w:sz w:val="22"/>
                <w:szCs w:val="22"/>
                <w:lang w:eastAsia="en-GB"/>
              </w:rPr>
              <w:t>3,143</w:t>
            </w:r>
          </w:p>
        </w:tc>
        <w:tc>
          <w:tcPr>
            <w:tcW w:w="974"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5B31501A" w14:textId="77777777">
            <w:pPr>
              <w:jc w:val="center"/>
              <w:rPr>
                <w:color w:val="000000"/>
                <w:sz w:val="22"/>
                <w:szCs w:val="22"/>
                <w:lang w:eastAsia="en-GB"/>
              </w:rPr>
            </w:pPr>
            <w:r w:rsidRPr="00621FBB">
              <w:rPr>
                <w:color w:val="000000"/>
                <w:sz w:val="22"/>
                <w:szCs w:val="22"/>
                <w:lang w:eastAsia="en-GB"/>
              </w:rPr>
              <w:t>243</w:t>
            </w:r>
          </w:p>
        </w:tc>
        <w:tc>
          <w:tcPr>
            <w:tcW w:w="767"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0DDAEEFB" w14:textId="77777777">
            <w:pPr>
              <w:jc w:val="center"/>
              <w:rPr>
                <w:color w:val="000000"/>
                <w:sz w:val="22"/>
                <w:szCs w:val="22"/>
                <w:lang w:eastAsia="en-GB"/>
              </w:rPr>
            </w:pPr>
            <w:r w:rsidRPr="00621FBB">
              <w:rPr>
                <w:color w:val="000000"/>
                <w:sz w:val="22"/>
                <w:szCs w:val="22"/>
                <w:lang w:eastAsia="en-GB"/>
              </w:rPr>
              <w:t>3,386</w:t>
            </w:r>
          </w:p>
        </w:tc>
        <w:tc>
          <w:tcPr>
            <w:tcW w:w="11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230EDE7D" w14:textId="77777777">
            <w:pPr>
              <w:jc w:val="center"/>
              <w:rPr>
                <w:color w:val="000000"/>
                <w:sz w:val="22"/>
                <w:szCs w:val="22"/>
                <w:lang w:eastAsia="en-GB"/>
              </w:rPr>
            </w:pPr>
            <w:r w:rsidRPr="00621FBB">
              <w:rPr>
                <w:color w:val="000000"/>
                <w:sz w:val="22"/>
                <w:szCs w:val="22"/>
                <w:lang w:eastAsia="en-GB"/>
              </w:rPr>
              <w:t>-53</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0C7A29F2" w14:textId="77777777">
            <w:pPr>
              <w:jc w:val="center"/>
              <w:rPr>
                <w:color w:val="000000"/>
                <w:sz w:val="22"/>
                <w:szCs w:val="22"/>
                <w:lang w:eastAsia="en-GB"/>
              </w:rPr>
            </w:pPr>
            <w:r w:rsidRPr="00621FBB">
              <w:rPr>
                <w:color w:val="000000"/>
                <w:sz w:val="22"/>
                <w:szCs w:val="22"/>
                <w:lang w:eastAsia="en-GB"/>
              </w:rPr>
              <w:t>-1.54%</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5A7D5CC" w14:textId="77777777">
            <w:pPr>
              <w:jc w:val="center"/>
              <w:rPr>
                <w:color w:val="000000"/>
                <w:sz w:val="22"/>
                <w:szCs w:val="22"/>
                <w:lang w:eastAsia="en-GB"/>
              </w:rPr>
            </w:pPr>
            <w:r w:rsidRPr="00621FBB">
              <w:rPr>
                <w:color w:val="000000"/>
                <w:sz w:val="22"/>
                <w:szCs w:val="22"/>
                <w:lang w:eastAsia="en-GB"/>
              </w:rPr>
              <w:t>3,189</w:t>
            </w:r>
          </w:p>
        </w:tc>
        <w:tc>
          <w:tcPr>
            <w:tcW w:w="106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52C1C561" w14:textId="77777777">
            <w:pPr>
              <w:jc w:val="center"/>
              <w:rPr>
                <w:color w:val="000000"/>
                <w:sz w:val="22"/>
                <w:szCs w:val="22"/>
                <w:lang w:eastAsia="en-GB"/>
              </w:rPr>
            </w:pPr>
            <w:r w:rsidRPr="00621FBB">
              <w:rPr>
                <w:color w:val="000000"/>
                <w:sz w:val="22"/>
                <w:szCs w:val="22"/>
                <w:lang w:eastAsia="en-GB"/>
              </w:rPr>
              <w:t>94.2%</w:t>
            </w:r>
          </w:p>
        </w:tc>
      </w:tr>
      <w:tr w:rsidRPr="00621FBB" w:rsidR="00621FBB" w:rsidTr="00621FBB" w14:paraId="3851BD67" w14:textId="77777777">
        <w:trPr>
          <w:trHeight w:val="300"/>
        </w:trPr>
        <w:tc>
          <w:tcPr>
            <w:tcW w:w="1220" w:type="dxa"/>
            <w:tcBorders>
              <w:top w:val="nil"/>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0AD317B7" w14:textId="77777777">
            <w:pPr>
              <w:jc w:val="center"/>
              <w:rPr>
                <w:color w:val="000000"/>
                <w:sz w:val="22"/>
                <w:szCs w:val="22"/>
                <w:lang w:eastAsia="en-GB"/>
              </w:rPr>
            </w:pPr>
            <w:r w:rsidRPr="00621FBB">
              <w:rPr>
                <w:color w:val="000000"/>
                <w:sz w:val="22"/>
                <w:szCs w:val="22"/>
                <w:lang w:eastAsia="en-GB"/>
              </w:rPr>
              <w:t>Sep-18</w:t>
            </w:r>
          </w:p>
        </w:tc>
        <w:tc>
          <w:tcPr>
            <w:tcW w:w="1146"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5F416FDE" w14:textId="77777777">
            <w:pPr>
              <w:jc w:val="center"/>
              <w:rPr>
                <w:color w:val="000000"/>
                <w:sz w:val="22"/>
                <w:szCs w:val="22"/>
                <w:lang w:eastAsia="en-GB"/>
              </w:rPr>
            </w:pPr>
            <w:r w:rsidRPr="00621FBB">
              <w:rPr>
                <w:color w:val="000000"/>
                <w:sz w:val="22"/>
                <w:szCs w:val="22"/>
                <w:lang w:eastAsia="en-GB"/>
              </w:rPr>
              <w:t>2,969</w:t>
            </w:r>
          </w:p>
        </w:tc>
        <w:tc>
          <w:tcPr>
            <w:tcW w:w="974"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6C6D6DD0" w14:textId="77777777">
            <w:pPr>
              <w:jc w:val="center"/>
              <w:rPr>
                <w:color w:val="000000"/>
                <w:sz w:val="22"/>
                <w:szCs w:val="22"/>
                <w:lang w:eastAsia="en-GB"/>
              </w:rPr>
            </w:pPr>
            <w:r w:rsidRPr="00621FBB">
              <w:rPr>
                <w:color w:val="000000"/>
                <w:sz w:val="22"/>
                <w:szCs w:val="22"/>
                <w:lang w:eastAsia="en-GB"/>
              </w:rPr>
              <w:t>205</w:t>
            </w:r>
          </w:p>
        </w:tc>
        <w:tc>
          <w:tcPr>
            <w:tcW w:w="767"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3D1AC06B" w14:textId="77777777">
            <w:pPr>
              <w:jc w:val="center"/>
              <w:rPr>
                <w:color w:val="000000"/>
                <w:sz w:val="22"/>
                <w:szCs w:val="22"/>
                <w:lang w:eastAsia="en-GB"/>
              </w:rPr>
            </w:pPr>
            <w:r w:rsidRPr="00621FBB">
              <w:rPr>
                <w:color w:val="000000"/>
                <w:sz w:val="22"/>
                <w:szCs w:val="22"/>
                <w:lang w:eastAsia="en-GB"/>
              </w:rPr>
              <w:t>3,174</w:t>
            </w:r>
          </w:p>
        </w:tc>
        <w:tc>
          <w:tcPr>
            <w:tcW w:w="11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654AC73" w14:textId="77777777">
            <w:pPr>
              <w:jc w:val="center"/>
              <w:rPr>
                <w:color w:val="000000"/>
                <w:sz w:val="22"/>
                <w:szCs w:val="22"/>
                <w:lang w:eastAsia="en-GB"/>
              </w:rPr>
            </w:pPr>
            <w:r w:rsidRPr="00621FBB">
              <w:rPr>
                <w:color w:val="000000"/>
                <w:sz w:val="22"/>
                <w:szCs w:val="22"/>
                <w:lang w:eastAsia="en-GB"/>
              </w:rPr>
              <w:t>-212</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3968A0FA" w14:textId="77777777">
            <w:pPr>
              <w:jc w:val="center"/>
              <w:rPr>
                <w:color w:val="000000"/>
                <w:sz w:val="22"/>
                <w:szCs w:val="22"/>
                <w:lang w:eastAsia="en-GB"/>
              </w:rPr>
            </w:pPr>
            <w:r w:rsidRPr="00621FBB">
              <w:rPr>
                <w:color w:val="000000"/>
                <w:sz w:val="22"/>
                <w:szCs w:val="22"/>
                <w:lang w:eastAsia="en-GB"/>
              </w:rPr>
              <w:t>-6.26%</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7DF4718E" w14:textId="77777777">
            <w:pPr>
              <w:jc w:val="center"/>
              <w:rPr>
                <w:color w:val="000000"/>
                <w:sz w:val="22"/>
                <w:szCs w:val="22"/>
                <w:lang w:eastAsia="en-GB"/>
              </w:rPr>
            </w:pPr>
            <w:r w:rsidRPr="00621FBB">
              <w:rPr>
                <w:color w:val="000000"/>
                <w:sz w:val="22"/>
                <w:szCs w:val="22"/>
                <w:lang w:eastAsia="en-GB"/>
              </w:rPr>
              <w:t>3,043</w:t>
            </w:r>
          </w:p>
        </w:tc>
        <w:tc>
          <w:tcPr>
            <w:tcW w:w="106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25B55384" w14:textId="77777777">
            <w:pPr>
              <w:jc w:val="center"/>
              <w:rPr>
                <w:color w:val="000000"/>
                <w:sz w:val="22"/>
                <w:szCs w:val="22"/>
                <w:lang w:eastAsia="en-GB"/>
              </w:rPr>
            </w:pPr>
            <w:r w:rsidRPr="00621FBB">
              <w:rPr>
                <w:color w:val="000000"/>
                <w:sz w:val="22"/>
                <w:szCs w:val="22"/>
                <w:lang w:eastAsia="en-GB"/>
              </w:rPr>
              <w:t>95.9%</w:t>
            </w:r>
          </w:p>
        </w:tc>
      </w:tr>
      <w:tr w:rsidRPr="00621FBB" w:rsidR="00621FBB" w:rsidTr="00621FBB" w14:paraId="5EBD7F88" w14:textId="77777777">
        <w:trPr>
          <w:trHeight w:val="300"/>
        </w:trPr>
        <w:tc>
          <w:tcPr>
            <w:tcW w:w="1220" w:type="dxa"/>
            <w:tcBorders>
              <w:top w:val="nil"/>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32DBF914" w14:textId="77777777">
            <w:pPr>
              <w:jc w:val="center"/>
              <w:rPr>
                <w:color w:val="000000"/>
                <w:sz w:val="22"/>
                <w:szCs w:val="22"/>
                <w:lang w:eastAsia="en-GB"/>
              </w:rPr>
            </w:pPr>
            <w:r w:rsidRPr="00621FBB">
              <w:rPr>
                <w:color w:val="000000"/>
                <w:sz w:val="22"/>
                <w:szCs w:val="22"/>
                <w:lang w:eastAsia="en-GB"/>
              </w:rPr>
              <w:t>Sep-19</w:t>
            </w:r>
          </w:p>
        </w:tc>
        <w:tc>
          <w:tcPr>
            <w:tcW w:w="1146"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3BEF33E1" w14:textId="77777777">
            <w:pPr>
              <w:jc w:val="center"/>
              <w:rPr>
                <w:color w:val="000000"/>
                <w:sz w:val="22"/>
                <w:szCs w:val="22"/>
                <w:lang w:eastAsia="en-GB"/>
              </w:rPr>
            </w:pPr>
            <w:r w:rsidRPr="00621FBB">
              <w:rPr>
                <w:color w:val="000000"/>
                <w:sz w:val="22"/>
                <w:szCs w:val="22"/>
                <w:lang w:eastAsia="en-GB"/>
              </w:rPr>
              <w:t>2,976</w:t>
            </w:r>
          </w:p>
        </w:tc>
        <w:tc>
          <w:tcPr>
            <w:tcW w:w="974"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62A620BE" w14:textId="77777777">
            <w:pPr>
              <w:jc w:val="center"/>
              <w:rPr>
                <w:color w:val="000000"/>
                <w:sz w:val="22"/>
                <w:szCs w:val="22"/>
                <w:lang w:eastAsia="en-GB"/>
              </w:rPr>
            </w:pPr>
            <w:r w:rsidRPr="00621FBB">
              <w:rPr>
                <w:color w:val="000000"/>
                <w:sz w:val="22"/>
                <w:szCs w:val="22"/>
                <w:lang w:eastAsia="en-GB"/>
              </w:rPr>
              <w:t>212</w:t>
            </w:r>
          </w:p>
        </w:tc>
        <w:tc>
          <w:tcPr>
            <w:tcW w:w="767"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1A430958" w14:textId="77777777">
            <w:pPr>
              <w:jc w:val="center"/>
              <w:rPr>
                <w:color w:val="000000"/>
                <w:sz w:val="22"/>
                <w:szCs w:val="22"/>
                <w:lang w:eastAsia="en-GB"/>
              </w:rPr>
            </w:pPr>
            <w:r w:rsidRPr="00621FBB">
              <w:rPr>
                <w:color w:val="000000"/>
                <w:sz w:val="22"/>
                <w:szCs w:val="22"/>
                <w:lang w:eastAsia="en-GB"/>
              </w:rPr>
              <w:t>3,188</w:t>
            </w:r>
          </w:p>
        </w:tc>
        <w:tc>
          <w:tcPr>
            <w:tcW w:w="11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18CA3329" w14:textId="77777777">
            <w:pPr>
              <w:jc w:val="center"/>
              <w:rPr>
                <w:color w:val="000000"/>
                <w:sz w:val="22"/>
                <w:szCs w:val="22"/>
                <w:lang w:eastAsia="en-GB"/>
              </w:rPr>
            </w:pPr>
            <w:r w:rsidRPr="00621FBB">
              <w:rPr>
                <w:color w:val="000000"/>
                <w:sz w:val="22"/>
                <w:szCs w:val="22"/>
                <w:lang w:eastAsia="en-GB"/>
              </w:rPr>
              <w:t>14</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20197C98" w14:textId="77777777">
            <w:pPr>
              <w:jc w:val="center"/>
              <w:rPr>
                <w:color w:val="000000"/>
                <w:sz w:val="22"/>
                <w:szCs w:val="22"/>
                <w:lang w:eastAsia="en-GB"/>
              </w:rPr>
            </w:pPr>
            <w:r w:rsidRPr="00621FBB">
              <w:rPr>
                <w:color w:val="000000"/>
                <w:sz w:val="22"/>
                <w:szCs w:val="22"/>
                <w:lang w:eastAsia="en-GB"/>
              </w:rPr>
              <w:t>0.44%</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0CCD9EC0" w14:textId="77777777">
            <w:pPr>
              <w:jc w:val="center"/>
              <w:rPr>
                <w:color w:val="000000"/>
                <w:sz w:val="22"/>
                <w:szCs w:val="22"/>
                <w:lang w:eastAsia="en-GB"/>
              </w:rPr>
            </w:pPr>
            <w:r w:rsidRPr="00621FBB">
              <w:rPr>
                <w:color w:val="000000"/>
                <w:sz w:val="22"/>
                <w:szCs w:val="22"/>
                <w:lang w:eastAsia="en-GB"/>
              </w:rPr>
              <w:t>3,079</w:t>
            </w:r>
          </w:p>
        </w:tc>
        <w:tc>
          <w:tcPr>
            <w:tcW w:w="106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74FE2D2" w14:textId="77777777">
            <w:pPr>
              <w:jc w:val="center"/>
              <w:rPr>
                <w:color w:val="000000"/>
                <w:sz w:val="22"/>
                <w:szCs w:val="22"/>
                <w:lang w:eastAsia="en-GB"/>
              </w:rPr>
            </w:pPr>
            <w:r w:rsidRPr="00621FBB">
              <w:rPr>
                <w:color w:val="000000"/>
                <w:sz w:val="22"/>
                <w:szCs w:val="22"/>
                <w:lang w:eastAsia="en-GB"/>
              </w:rPr>
              <w:t>96.6%</w:t>
            </w:r>
          </w:p>
        </w:tc>
      </w:tr>
      <w:tr w:rsidRPr="00621FBB" w:rsidR="00621FBB" w:rsidTr="00621FBB" w14:paraId="0FC0DAD5" w14:textId="77777777">
        <w:trPr>
          <w:trHeight w:val="300"/>
        </w:trPr>
        <w:tc>
          <w:tcPr>
            <w:tcW w:w="1220" w:type="dxa"/>
            <w:tcBorders>
              <w:top w:val="nil"/>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26D27E2B" w14:textId="77777777">
            <w:pPr>
              <w:jc w:val="center"/>
              <w:rPr>
                <w:color w:val="000000"/>
                <w:sz w:val="22"/>
                <w:szCs w:val="22"/>
                <w:lang w:eastAsia="en-GB"/>
              </w:rPr>
            </w:pPr>
            <w:r w:rsidRPr="00621FBB">
              <w:rPr>
                <w:color w:val="000000"/>
                <w:sz w:val="22"/>
                <w:szCs w:val="22"/>
                <w:lang w:eastAsia="en-GB"/>
              </w:rPr>
              <w:t>Sep-20</w:t>
            </w:r>
          </w:p>
        </w:tc>
        <w:tc>
          <w:tcPr>
            <w:tcW w:w="1146"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743EF176" w14:textId="77777777">
            <w:pPr>
              <w:jc w:val="center"/>
              <w:rPr>
                <w:color w:val="000000"/>
                <w:sz w:val="22"/>
                <w:szCs w:val="22"/>
                <w:lang w:eastAsia="en-GB"/>
              </w:rPr>
            </w:pPr>
            <w:r w:rsidRPr="00621FBB">
              <w:rPr>
                <w:color w:val="000000"/>
                <w:sz w:val="22"/>
                <w:szCs w:val="22"/>
                <w:lang w:eastAsia="en-GB"/>
              </w:rPr>
              <w:t>3,043</w:t>
            </w:r>
          </w:p>
        </w:tc>
        <w:tc>
          <w:tcPr>
            <w:tcW w:w="974"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2DC244C3" w14:textId="77777777">
            <w:pPr>
              <w:jc w:val="center"/>
              <w:rPr>
                <w:color w:val="000000"/>
                <w:sz w:val="22"/>
                <w:szCs w:val="22"/>
                <w:lang w:eastAsia="en-GB"/>
              </w:rPr>
            </w:pPr>
            <w:r w:rsidRPr="00621FBB">
              <w:rPr>
                <w:color w:val="000000" w:themeColor="text1"/>
                <w:sz w:val="22"/>
                <w:szCs w:val="22"/>
                <w:lang w:eastAsia="en-GB"/>
              </w:rPr>
              <w:t>184</w:t>
            </w:r>
          </w:p>
        </w:tc>
        <w:tc>
          <w:tcPr>
            <w:tcW w:w="767"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10D4C14A" w14:textId="77777777">
            <w:pPr>
              <w:jc w:val="center"/>
              <w:rPr>
                <w:color w:val="000000"/>
                <w:sz w:val="22"/>
                <w:szCs w:val="22"/>
                <w:lang w:eastAsia="en-GB"/>
              </w:rPr>
            </w:pPr>
            <w:r w:rsidRPr="00621FBB">
              <w:rPr>
                <w:color w:val="000000"/>
                <w:sz w:val="22"/>
                <w:szCs w:val="22"/>
                <w:lang w:eastAsia="en-GB"/>
              </w:rPr>
              <w:t>3,227</w:t>
            </w:r>
          </w:p>
        </w:tc>
        <w:tc>
          <w:tcPr>
            <w:tcW w:w="11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D07DC32" w14:textId="77777777">
            <w:pPr>
              <w:jc w:val="center"/>
              <w:rPr>
                <w:sz w:val="22"/>
                <w:szCs w:val="22"/>
                <w:lang w:eastAsia="en-GB"/>
              </w:rPr>
            </w:pPr>
            <w:r w:rsidRPr="00621FBB">
              <w:rPr>
                <w:sz w:val="22"/>
                <w:szCs w:val="22"/>
                <w:lang w:eastAsia="en-GB"/>
              </w:rPr>
              <w:t>39</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197395D" w14:textId="77777777">
            <w:pPr>
              <w:jc w:val="center"/>
              <w:rPr>
                <w:sz w:val="22"/>
                <w:szCs w:val="22"/>
                <w:lang w:eastAsia="en-GB"/>
              </w:rPr>
            </w:pPr>
            <w:r w:rsidRPr="00621FBB">
              <w:rPr>
                <w:sz w:val="22"/>
                <w:szCs w:val="22"/>
                <w:lang w:eastAsia="en-GB"/>
              </w:rPr>
              <w:t>1.22%</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61807E66" w14:textId="77777777">
            <w:pPr>
              <w:jc w:val="center"/>
              <w:rPr>
                <w:color w:val="000000"/>
                <w:sz w:val="22"/>
                <w:szCs w:val="22"/>
                <w:lang w:eastAsia="en-GB"/>
              </w:rPr>
            </w:pPr>
            <w:r w:rsidRPr="00621FBB">
              <w:rPr>
                <w:color w:val="000000"/>
                <w:sz w:val="22"/>
                <w:szCs w:val="22"/>
                <w:lang w:eastAsia="en-GB"/>
              </w:rPr>
              <w:t>3,089</w:t>
            </w:r>
          </w:p>
        </w:tc>
        <w:tc>
          <w:tcPr>
            <w:tcW w:w="106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197DF230" w14:textId="77777777">
            <w:pPr>
              <w:jc w:val="center"/>
              <w:rPr>
                <w:color w:val="000000"/>
                <w:sz w:val="22"/>
                <w:szCs w:val="22"/>
                <w:lang w:eastAsia="en-GB"/>
              </w:rPr>
            </w:pPr>
            <w:r w:rsidRPr="00621FBB">
              <w:rPr>
                <w:color w:val="000000"/>
                <w:sz w:val="22"/>
                <w:szCs w:val="22"/>
                <w:lang w:eastAsia="en-GB"/>
              </w:rPr>
              <w:t>95.7%</w:t>
            </w:r>
          </w:p>
        </w:tc>
      </w:tr>
      <w:tr w:rsidRPr="00621FBB" w:rsidR="00621FBB" w:rsidTr="00621FBB" w14:paraId="1C2F2FD7" w14:textId="77777777">
        <w:trPr>
          <w:trHeight w:val="300"/>
        </w:trPr>
        <w:tc>
          <w:tcPr>
            <w:tcW w:w="1220" w:type="dxa"/>
            <w:tcBorders>
              <w:top w:val="nil"/>
              <w:left w:val="single" w:color="auto" w:sz="4" w:space="0"/>
              <w:bottom w:val="single" w:color="auto" w:sz="4" w:space="0"/>
              <w:right w:val="single" w:color="auto" w:sz="4" w:space="0"/>
            </w:tcBorders>
            <w:shd w:val="clear" w:color="auto" w:fill="auto"/>
            <w:noWrap/>
            <w:vAlign w:val="center"/>
            <w:hideMark/>
          </w:tcPr>
          <w:p w:rsidRPr="00621FBB" w:rsidR="00621FBB" w:rsidP="00621FBB" w:rsidRDefault="00621FBB" w14:paraId="7497C41D" w14:textId="77777777">
            <w:pPr>
              <w:jc w:val="center"/>
              <w:rPr>
                <w:color w:val="000000"/>
                <w:sz w:val="22"/>
                <w:szCs w:val="22"/>
                <w:lang w:eastAsia="en-GB"/>
              </w:rPr>
            </w:pPr>
            <w:r w:rsidRPr="00621FBB">
              <w:rPr>
                <w:color w:val="000000"/>
                <w:sz w:val="22"/>
                <w:szCs w:val="22"/>
                <w:lang w:eastAsia="en-GB"/>
              </w:rPr>
              <w:t>Sep-21</w:t>
            </w:r>
          </w:p>
        </w:tc>
        <w:tc>
          <w:tcPr>
            <w:tcW w:w="1146"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7D4B8936" w14:textId="77777777">
            <w:pPr>
              <w:jc w:val="center"/>
              <w:rPr>
                <w:color w:val="000000"/>
                <w:sz w:val="22"/>
                <w:szCs w:val="22"/>
                <w:lang w:eastAsia="en-GB"/>
              </w:rPr>
            </w:pPr>
            <w:r w:rsidRPr="00621FBB">
              <w:rPr>
                <w:color w:val="000000"/>
                <w:sz w:val="22"/>
                <w:szCs w:val="22"/>
                <w:lang w:eastAsia="en-GB"/>
              </w:rPr>
              <w:t>2,864</w:t>
            </w:r>
          </w:p>
        </w:tc>
        <w:tc>
          <w:tcPr>
            <w:tcW w:w="974"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55DBE669" w14:textId="77777777">
            <w:pPr>
              <w:jc w:val="center"/>
              <w:rPr>
                <w:color w:val="000000"/>
                <w:sz w:val="22"/>
                <w:szCs w:val="22"/>
                <w:lang w:eastAsia="en-GB"/>
              </w:rPr>
            </w:pPr>
            <w:r w:rsidRPr="00621FBB">
              <w:rPr>
                <w:color w:val="000000"/>
                <w:sz w:val="22"/>
                <w:szCs w:val="22"/>
                <w:lang w:eastAsia="en-GB"/>
              </w:rPr>
              <w:t>278***</w:t>
            </w:r>
          </w:p>
        </w:tc>
        <w:tc>
          <w:tcPr>
            <w:tcW w:w="767"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7023257B" w14:textId="77777777">
            <w:pPr>
              <w:jc w:val="center"/>
              <w:rPr>
                <w:color w:val="000000"/>
                <w:sz w:val="22"/>
                <w:szCs w:val="22"/>
                <w:lang w:eastAsia="en-GB"/>
              </w:rPr>
            </w:pPr>
            <w:r w:rsidRPr="00621FBB">
              <w:rPr>
                <w:color w:val="000000"/>
                <w:sz w:val="22"/>
                <w:szCs w:val="22"/>
                <w:lang w:eastAsia="en-GB"/>
              </w:rPr>
              <w:t>3,142</w:t>
            </w:r>
          </w:p>
        </w:tc>
        <w:tc>
          <w:tcPr>
            <w:tcW w:w="11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0F61C9A3" w14:textId="77777777">
            <w:pPr>
              <w:jc w:val="center"/>
              <w:rPr>
                <w:sz w:val="22"/>
                <w:szCs w:val="22"/>
                <w:lang w:eastAsia="en-GB"/>
              </w:rPr>
            </w:pPr>
            <w:r w:rsidRPr="00621FBB">
              <w:rPr>
                <w:sz w:val="22"/>
                <w:szCs w:val="22"/>
                <w:lang w:eastAsia="en-GB"/>
              </w:rPr>
              <w:t>-85</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35811FB3" w14:textId="77777777">
            <w:pPr>
              <w:jc w:val="center"/>
              <w:rPr>
                <w:sz w:val="22"/>
                <w:szCs w:val="22"/>
                <w:lang w:eastAsia="en-GB"/>
              </w:rPr>
            </w:pPr>
            <w:r w:rsidRPr="00621FBB">
              <w:rPr>
                <w:sz w:val="22"/>
                <w:szCs w:val="22"/>
                <w:lang w:eastAsia="en-GB"/>
              </w:rPr>
              <w:t>-2.63%</w:t>
            </w:r>
          </w:p>
        </w:tc>
        <w:tc>
          <w:tcPr>
            <w:tcW w:w="128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35A9D352" w14:textId="77777777">
            <w:pPr>
              <w:jc w:val="center"/>
              <w:rPr>
                <w:i/>
                <w:iCs/>
                <w:color w:val="000000"/>
                <w:sz w:val="22"/>
                <w:szCs w:val="22"/>
                <w:lang w:eastAsia="en-GB"/>
              </w:rPr>
            </w:pPr>
            <w:r w:rsidRPr="00621FBB">
              <w:rPr>
                <w:i/>
                <w:iCs/>
                <w:color w:val="000000"/>
                <w:sz w:val="22"/>
                <w:szCs w:val="22"/>
                <w:lang w:eastAsia="en-GB"/>
              </w:rPr>
              <w:t>3,118</w:t>
            </w:r>
          </w:p>
        </w:tc>
        <w:tc>
          <w:tcPr>
            <w:tcW w:w="1060" w:type="dxa"/>
            <w:tcBorders>
              <w:top w:val="nil"/>
              <w:left w:val="nil"/>
              <w:bottom w:val="single" w:color="auto" w:sz="4" w:space="0"/>
              <w:right w:val="single" w:color="auto" w:sz="4" w:space="0"/>
            </w:tcBorders>
            <w:shd w:val="clear" w:color="auto" w:fill="auto"/>
            <w:noWrap/>
            <w:vAlign w:val="center"/>
            <w:hideMark/>
          </w:tcPr>
          <w:p w:rsidRPr="00621FBB" w:rsidR="00621FBB" w:rsidP="00621FBB" w:rsidRDefault="00621FBB" w14:paraId="4F1CBA98" w14:textId="77777777">
            <w:pPr>
              <w:jc w:val="center"/>
              <w:rPr>
                <w:i/>
                <w:iCs/>
                <w:color w:val="000000"/>
                <w:sz w:val="22"/>
                <w:szCs w:val="22"/>
                <w:lang w:eastAsia="en-GB"/>
              </w:rPr>
            </w:pPr>
            <w:r w:rsidRPr="00621FBB">
              <w:rPr>
                <w:i/>
                <w:iCs/>
                <w:color w:val="000000"/>
                <w:sz w:val="22"/>
                <w:szCs w:val="22"/>
                <w:lang w:eastAsia="en-GB"/>
              </w:rPr>
              <w:t>99.2%</w:t>
            </w:r>
          </w:p>
        </w:tc>
      </w:tr>
    </w:tbl>
    <w:p w:rsidRPr="00F26985" w:rsidR="00621FBB" w:rsidP="00621FBB" w:rsidRDefault="00621FBB" w14:paraId="256A596C" w14:textId="77777777">
      <w:pPr>
        <w:rPr>
          <w:sz w:val="20"/>
          <w:szCs w:val="20"/>
        </w:rPr>
      </w:pPr>
      <w:r w:rsidRPr="00F26985">
        <w:rPr>
          <w:sz w:val="20"/>
          <w:szCs w:val="20"/>
        </w:rPr>
        <w:t>* On-time applications are the data from the DfE returns submitted on offer day.</w:t>
      </w:r>
    </w:p>
    <w:p w:rsidRPr="00F26985" w:rsidR="00621FBB" w:rsidP="00621FBB" w:rsidRDefault="00621FBB" w14:paraId="7BF53F93" w14:textId="77777777">
      <w:pPr>
        <w:rPr>
          <w:sz w:val="20"/>
          <w:szCs w:val="20"/>
        </w:rPr>
      </w:pPr>
      <w:r w:rsidRPr="00F26985">
        <w:rPr>
          <w:sz w:val="20"/>
          <w:szCs w:val="20"/>
        </w:rPr>
        <w:t>** Lates are the number of on-time applications subtracted from the total home (Harrow) applications on the Capita One system.  (Note: if the home address of the pupil has changed to an address outside Harrow since the application, this may deflate the total number of late applications)</w:t>
      </w:r>
    </w:p>
    <w:p w:rsidRPr="00F26985" w:rsidR="00621FBB" w:rsidP="00621FBB" w:rsidRDefault="00621FBB" w14:paraId="0A94E537" w14:textId="77777777">
      <w:pPr>
        <w:rPr>
          <w:sz w:val="20"/>
          <w:szCs w:val="20"/>
        </w:rPr>
      </w:pPr>
      <w:r w:rsidRPr="00F26985">
        <w:rPr>
          <w:sz w:val="20"/>
          <w:szCs w:val="20"/>
        </w:rPr>
        <w:t>*** As at 1</w:t>
      </w:r>
      <w:r>
        <w:rPr>
          <w:sz w:val="20"/>
          <w:szCs w:val="20"/>
        </w:rPr>
        <w:t>8</w:t>
      </w:r>
      <w:r w:rsidRPr="00F26985">
        <w:rPr>
          <w:sz w:val="20"/>
          <w:szCs w:val="20"/>
        </w:rPr>
        <w:t xml:space="preserve"> July 202</w:t>
      </w:r>
      <w:r>
        <w:rPr>
          <w:sz w:val="20"/>
          <w:szCs w:val="20"/>
        </w:rPr>
        <w:t>1</w:t>
      </w:r>
    </w:p>
    <w:p w:rsidR="00621FBB" w:rsidP="00340B1D" w:rsidRDefault="00621FBB" w14:paraId="3488DE34" w14:textId="01C145F0"/>
    <w:p w:rsidRPr="00F26985" w:rsidR="00621FBB" w:rsidP="00340B1D" w:rsidRDefault="00621FBB" w14:paraId="6EA4C1E1" w14:textId="77777777"/>
    <w:p w:rsidRPr="00F26985" w:rsidR="00340B1D" w:rsidP="00340B1D" w:rsidRDefault="00340B1D" w14:paraId="3661CC34" w14:textId="77777777">
      <w:pPr>
        <w:rPr>
          <w:lang w:eastAsia="en-GB"/>
        </w:rPr>
      </w:pPr>
    </w:p>
    <w:p w:rsidRPr="00F26985" w:rsidR="00340B1D" w:rsidP="00340B1D" w:rsidRDefault="00340B1D" w14:paraId="60E3A8C0" w14:textId="4C2C0E93">
      <w:pPr>
        <w:pStyle w:val="Heading6"/>
        <w:autoSpaceDE/>
        <w:autoSpaceDN/>
        <w:adjustRightInd/>
      </w:pPr>
      <w:r w:rsidRPr="00F26985">
        <w:lastRenderedPageBreak/>
        <w:t>Year 7 intake</w:t>
      </w:r>
    </w:p>
    <w:p w:rsidRPr="00F26985" w:rsidR="00340B1D" w:rsidP="00340B1D" w:rsidRDefault="00340B1D" w14:paraId="18CDC0FE" w14:textId="77777777"/>
    <w:p w:rsidRPr="00F26985" w:rsidR="00340B1D" w:rsidP="00340B1D" w:rsidRDefault="00340B1D" w14:paraId="287191B0" w14:textId="77777777">
      <w:pPr>
        <w:rPr>
          <w:b/>
        </w:rPr>
      </w:pPr>
      <w:r w:rsidRPr="00F26985">
        <w:rPr>
          <w:b/>
        </w:rPr>
        <w:t>Harrow Residents</w:t>
      </w:r>
    </w:p>
    <w:p w:rsidRPr="00F26985" w:rsidR="00340B1D" w:rsidP="00340B1D" w:rsidRDefault="00340B1D" w14:paraId="27EED65E" w14:textId="12E5A379">
      <w:r w:rsidRPr="00F26985">
        <w:t xml:space="preserve">Admissions received </w:t>
      </w:r>
      <w:r w:rsidRPr="00F26985" w:rsidR="007F1652">
        <w:t>3</w:t>
      </w:r>
      <w:r w:rsidRPr="00F26985">
        <w:t>,</w:t>
      </w:r>
      <w:r w:rsidRPr="00F26985" w:rsidR="007F1652">
        <w:t>0</w:t>
      </w:r>
      <w:r w:rsidR="00247870">
        <w:t>24</w:t>
      </w:r>
      <w:r w:rsidRPr="00F26985">
        <w:t xml:space="preserve"> applications (as at </w:t>
      </w:r>
      <w:r w:rsidR="00247870">
        <w:t>20</w:t>
      </w:r>
      <w:r>
        <w:t xml:space="preserve"> </w:t>
      </w:r>
      <w:r w:rsidRPr="00F26985">
        <w:t>J</w:t>
      </w:r>
      <w:r w:rsidRPr="00F26985" w:rsidR="007F1652">
        <w:t>uly 202</w:t>
      </w:r>
      <w:r w:rsidR="00247870">
        <w:t>1</w:t>
      </w:r>
      <w:r w:rsidRPr="00F26985">
        <w:t xml:space="preserve">) </w:t>
      </w:r>
      <w:r w:rsidRPr="00F26985">
        <w:rPr>
          <w:b/>
        </w:rPr>
        <w:t>from Harrow residents</w:t>
      </w:r>
      <w:r w:rsidRPr="00F26985">
        <w:t xml:space="preserve"> for a September 20</w:t>
      </w:r>
      <w:r w:rsidRPr="00F26985" w:rsidR="007F1652">
        <w:t>20</w:t>
      </w:r>
      <w:r w:rsidRPr="00F26985">
        <w:t xml:space="preserve"> year 7 school place; this includes applications for Harrow schools, out of borough schools and grammar schools etc.  </w:t>
      </w:r>
    </w:p>
    <w:p w:rsidRPr="00F26985" w:rsidR="00340B1D" w:rsidP="00340B1D" w:rsidRDefault="00340B1D" w14:paraId="10A2AE4A" w14:textId="77777777"/>
    <w:p w:rsidRPr="00054139" w:rsidR="00340B1D" w:rsidP="00340B1D" w:rsidRDefault="00340B1D" w14:paraId="4C051410" w14:textId="39F17D8A">
      <w:r w:rsidRPr="00054139">
        <w:t xml:space="preserve">Table 2 below shows the increase in the total number of applications over the last few years.  It also illustrates the difference between the number of offers made and the take up of places as measured by the DfE School Census in January.  The take-up rate remained </w:t>
      </w:r>
      <w:r w:rsidRPr="00054139" w:rsidR="005D774C">
        <w:t xml:space="preserve">at </w:t>
      </w:r>
      <w:r w:rsidRPr="00054139">
        <w:t xml:space="preserve">or just above 81% </w:t>
      </w:r>
      <w:r w:rsidRPr="00054139" w:rsidR="005D774C">
        <w:t xml:space="preserve">a few years ago, </w:t>
      </w:r>
      <w:r w:rsidRPr="00054139">
        <w:t xml:space="preserve">however </w:t>
      </w:r>
      <w:r w:rsidRPr="00054139" w:rsidR="005D774C">
        <w:t>i</w:t>
      </w:r>
      <w:r w:rsidRPr="00054139">
        <w:t>t increased to 84</w:t>
      </w:r>
      <w:r w:rsidRPr="00054139" w:rsidR="00ED2E15">
        <w:t>.4</w:t>
      </w:r>
      <w:r w:rsidRPr="00054139">
        <w:t>% in September 2016, dropp</w:t>
      </w:r>
      <w:r w:rsidRPr="00054139" w:rsidR="005D774C">
        <w:t xml:space="preserve">ing slightly </w:t>
      </w:r>
      <w:r w:rsidRPr="00054139">
        <w:t>to 83</w:t>
      </w:r>
      <w:r w:rsidRPr="00054139" w:rsidR="00310351">
        <w:t>.0</w:t>
      </w:r>
      <w:r w:rsidRPr="00054139">
        <w:t>% in September 2017</w:t>
      </w:r>
      <w:r w:rsidRPr="00054139" w:rsidR="005D774C">
        <w:t>, but then increas</w:t>
      </w:r>
      <w:r w:rsidRPr="00054139" w:rsidR="00ED2E15">
        <w:t>ed</w:t>
      </w:r>
      <w:r w:rsidRPr="00054139" w:rsidR="005D774C">
        <w:t xml:space="preserve"> to 8</w:t>
      </w:r>
      <w:r w:rsidRPr="00054139" w:rsidR="001F3931">
        <w:t>8.5</w:t>
      </w:r>
      <w:r w:rsidRPr="00054139" w:rsidR="005D774C">
        <w:t>% in September 201</w:t>
      </w:r>
      <w:r w:rsidRPr="00054139" w:rsidR="001F3931">
        <w:t>9.</w:t>
      </w:r>
      <w:r w:rsidRPr="00054139" w:rsidR="00054139">
        <w:t xml:space="preserve">  As at September 2020 the take up rate fell to 85.5%.</w:t>
      </w:r>
    </w:p>
    <w:p w:rsidRPr="00F26985" w:rsidR="00340B1D" w:rsidP="00340B1D" w:rsidRDefault="00340B1D" w14:paraId="79DF9914" w14:textId="77777777"/>
    <w:p w:rsidR="00340B1D" w:rsidP="00340B1D" w:rsidRDefault="00340B1D" w14:paraId="12008A5B" w14:textId="0FBE83C1">
      <w:r w:rsidRPr="00F26985">
        <w:t>Table 2 – Admissions Year 7 Entry Applications of Harrow residents</w:t>
      </w:r>
    </w:p>
    <w:tbl>
      <w:tblPr>
        <w:tblW w:w="9437" w:type="dxa"/>
        <w:tblLook w:val="04A0" w:firstRow="1" w:lastRow="0" w:firstColumn="1" w:lastColumn="0" w:noHBand="0" w:noVBand="1"/>
      </w:tblPr>
      <w:tblGrid>
        <w:gridCol w:w="1321"/>
        <w:gridCol w:w="1329"/>
        <w:gridCol w:w="1243"/>
        <w:gridCol w:w="1036"/>
        <w:gridCol w:w="1109"/>
        <w:gridCol w:w="1279"/>
        <w:gridCol w:w="1060"/>
        <w:gridCol w:w="1060"/>
      </w:tblGrid>
      <w:tr w:rsidRPr="00FD6D1C" w:rsidR="00FD6D1C" w:rsidTr="00FD6D1C" w14:paraId="61AC6E27" w14:textId="77777777">
        <w:trPr>
          <w:trHeight w:val="1200"/>
        </w:trPr>
        <w:tc>
          <w:tcPr>
            <w:tcW w:w="132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D6D1C" w:rsidR="00FD6D1C" w:rsidP="00FD6D1C" w:rsidRDefault="00FD6D1C" w14:paraId="64C4DCAF" w14:textId="77777777">
            <w:pPr>
              <w:rPr>
                <w:b/>
                <w:bCs/>
                <w:color w:val="000000"/>
                <w:sz w:val="22"/>
                <w:szCs w:val="22"/>
                <w:lang w:eastAsia="en-GB"/>
              </w:rPr>
            </w:pPr>
            <w:r w:rsidRPr="00FD6D1C">
              <w:rPr>
                <w:b/>
                <w:bCs/>
                <w:color w:val="000000"/>
                <w:sz w:val="22"/>
                <w:szCs w:val="22"/>
                <w:lang w:eastAsia="en-GB"/>
              </w:rPr>
              <w:t>Entry Year</w:t>
            </w:r>
          </w:p>
        </w:tc>
        <w:tc>
          <w:tcPr>
            <w:tcW w:w="1329" w:type="dxa"/>
            <w:tcBorders>
              <w:top w:val="single" w:color="auto" w:sz="4" w:space="0"/>
              <w:left w:val="nil"/>
              <w:bottom w:val="single" w:color="auto" w:sz="4" w:space="0"/>
              <w:right w:val="single" w:color="auto" w:sz="4" w:space="0"/>
            </w:tcBorders>
            <w:shd w:val="clear" w:color="auto" w:fill="auto"/>
            <w:noWrap/>
            <w:vAlign w:val="center"/>
            <w:hideMark/>
          </w:tcPr>
          <w:p w:rsidRPr="00FD6D1C" w:rsidR="00FD6D1C" w:rsidP="00FD6D1C" w:rsidRDefault="00FD6D1C" w14:paraId="6F53197C" w14:textId="77777777">
            <w:pPr>
              <w:jc w:val="center"/>
              <w:rPr>
                <w:b/>
                <w:bCs/>
                <w:color w:val="000000"/>
                <w:sz w:val="22"/>
                <w:szCs w:val="22"/>
                <w:lang w:eastAsia="en-GB"/>
              </w:rPr>
            </w:pPr>
            <w:r w:rsidRPr="00FD6D1C">
              <w:rPr>
                <w:b/>
                <w:bCs/>
                <w:color w:val="000000"/>
                <w:sz w:val="22"/>
                <w:szCs w:val="22"/>
                <w:lang w:eastAsia="en-GB"/>
              </w:rPr>
              <w:t>On-time</w:t>
            </w:r>
          </w:p>
        </w:tc>
        <w:tc>
          <w:tcPr>
            <w:tcW w:w="124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D6D1C" w:rsidR="00FD6D1C" w:rsidP="00FD6D1C" w:rsidRDefault="00FD6D1C" w14:paraId="6205AA2C" w14:textId="77777777">
            <w:pPr>
              <w:jc w:val="center"/>
              <w:rPr>
                <w:b/>
                <w:bCs/>
                <w:color w:val="000000"/>
                <w:sz w:val="22"/>
                <w:szCs w:val="22"/>
                <w:lang w:eastAsia="en-GB"/>
              </w:rPr>
            </w:pPr>
            <w:r w:rsidRPr="00FD6D1C">
              <w:rPr>
                <w:b/>
                <w:bCs/>
                <w:color w:val="000000"/>
                <w:sz w:val="22"/>
                <w:szCs w:val="22"/>
                <w:lang w:eastAsia="en-GB"/>
              </w:rPr>
              <w:t xml:space="preserve">Lates as at end of </w:t>
            </w:r>
            <w:proofErr w:type="gramStart"/>
            <w:r w:rsidRPr="00FD6D1C">
              <w:rPr>
                <w:b/>
                <w:bCs/>
                <w:color w:val="000000"/>
                <w:sz w:val="22"/>
                <w:szCs w:val="22"/>
                <w:lang w:eastAsia="en-GB"/>
              </w:rPr>
              <w:t>August(</w:t>
            </w:r>
            <w:proofErr w:type="gramEnd"/>
            <w:r w:rsidRPr="00FD6D1C">
              <w:rPr>
                <w:b/>
                <w:bCs/>
                <w:color w:val="000000"/>
                <w:sz w:val="22"/>
                <w:szCs w:val="22"/>
                <w:lang w:eastAsia="en-GB"/>
              </w:rPr>
              <w:t>2)</w:t>
            </w:r>
          </w:p>
        </w:tc>
        <w:tc>
          <w:tcPr>
            <w:tcW w:w="10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D6D1C" w:rsidR="00FD6D1C" w:rsidP="00FD6D1C" w:rsidRDefault="00FD6D1C" w14:paraId="0E5E4B34" w14:textId="77777777">
            <w:pPr>
              <w:jc w:val="center"/>
              <w:rPr>
                <w:b/>
                <w:bCs/>
                <w:color w:val="000000"/>
                <w:sz w:val="22"/>
                <w:szCs w:val="22"/>
                <w:lang w:eastAsia="en-GB"/>
              </w:rPr>
            </w:pPr>
            <w:r w:rsidRPr="00FD6D1C">
              <w:rPr>
                <w:b/>
                <w:bCs/>
                <w:color w:val="000000"/>
                <w:sz w:val="22"/>
                <w:szCs w:val="22"/>
                <w:lang w:eastAsia="en-GB"/>
              </w:rPr>
              <w:t>Total</w:t>
            </w:r>
          </w:p>
        </w:tc>
        <w:tc>
          <w:tcPr>
            <w:tcW w:w="1109" w:type="dxa"/>
            <w:tcBorders>
              <w:top w:val="single" w:color="auto" w:sz="4" w:space="0"/>
              <w:left w:val="nil"/>
              <w:bottom w:val="single" w:color="auto" w:sz="4" w:space="0"/>
              <w:right w:val="single" w:color="auto" w:sz="4" w:space="0"/>
            </w:tcBorders>
            <w:shd w:val="clear" w:color="auto" w:fill="auto"/>
            <w:vAlign w:val="center"/>
            <w:hideMark/>
          </w:tcPr>
          <w:p w:rsidRPr="00FD6D1C" w:rsidR="00FD6D1C" w:rsidP="00FD6D1C" w:rsidRDefault="00FD6D1C" w14:paraId="5277CEF9" w14:textId="77777777">
            <w:pPr>
              <w:jc w:val="center"/>
              <w:rPr>
                <w:b/>
                <w:bCs/>
                <w:color w:val="000000"/>
                <w:sz w:val="22"/>
                <w:szCs w:val="22"/>
                <w:lang w:eastAsia="en-GB"/>
              </w:rPr>
            </w:pPr>
            <w:r w:rsidRPr="00FD6D1C">
              <w:rPr>
                <w:b/>
                <w:bCs/>
                <w:color w:val="000000"/>
                <w:sz w:val="22"/>
                <w:szCs w:val="22"/>
                <w:lang w:eastAsia="en-GB"/>
              </w:rPr>
              <w:t>Increase</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D6D1C" w:rsidR="00FD6D1C" w:rsidP="00FD6D1C" w:rsidRDefault="00FD6D1C" w14:paraId="594C126D" w14:textId="77777777">
            <w:pPr>
              <w:jc w:val="center"/>
              <w:rPr>
                <w:b/>
                <w:bCs/>
                <w:color w:val="000000"/>
                <w:sz w:val="22"/>
                <w:szCs w:val="22"/>
                <w:lang w:eastAsia="en-GB"/>
              </w:rPr>
            </w:pPr>
            <w:r w:rsidRPr="00FD6D1C">
              <w:rPr>
                <w:b/>
                <w:bCs/>
                <w:color w:val="000000"/>
                <w:sz w:val="22"/>
                <w:szCs w:val="22"/>
                <w:lang w:eastAsia="en-GB"/>
              </w:rPr>
              <w:t>% Increase from previous year</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FD6D1C" w:rsidR="00FD6D1C" w:rsidP="00FD6D1C" w:rsidRDefault="00FD6D1C" w14:paraId="566BD5FC" w14:textId="77777777">
            <w:pPr>
              <w:jc w:val="center"/>
              <w:rPr>
                <w:b/>
                <w:bCs/>
                <w:color w:val="000000"/>
                <w:sz w:val="22"/>
                <w:szCs w:val="22"/>
                <w:lang w:eastAsia="en-GB"/>
              </w:rPr>
            </w:pPr>
            <w:r w:rsidRPr="00FD6D1C">
              <w:rPr>
                <w:b/>
                <w:bCs/>
                <w:color w:val="000000"/>
                <w:sz w:val="22"/>
                <w:szCs w:val="22"/>
                <w:lang w:eastAsia="en-GB"/>
              </w:rPr>
              <w:t>January Census</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D6D1C" w:rsidR="00FD6D1C" w:rsidP="00FD6D1C" w:rsidRDefault="00FD6D1C" w14:paraId="01FCFE17" w14:textId="77777777">
            <w:pPr>
              <w:jc w:val="center"/>
              <w:rPr>
                <w:b/>
                <w:bCs/>
                <w:color w:val="000000"/>
                <w:sz w:val="22"/>
                <w:szCs w:val="22"/>
                <w:lang w:eastAsia="en-GB"/>
              </w:rPr>
            </w:pPr>
            <w:r w:rsidRPr="00FD6D1C">
              <w:rPr>
                <w:b/>
                <w:bCs/>
                <w:color w:val="000000"/>
                <w:sz w:val="22"/>
                <w:szCs w:val="22"/>
                <w:lang w:eastAsia="en-GB"/>
              </w:rPr>
              <w:t>January Take Up Rate</w:t>
            </w:r>
          </w:p>
        </w:tc>
      </w:tr>
      <w:tr w:rsidRPr="00FD6D1C" w:rsidR="00FD6D1C" w:rsidTr="00FD6D1C" w14:paraId="0D190E1C" w14:textId="77777777">
        <w:trPr>
          <w:trHeight w:val="600"/>
        </w:trPr>
        <w:tc>
          <w:tcPr>
            <w:tcW w:w="1321" w:type="dxa"/>
            <w:vMerge/>
            <w:tcBorders>
              <w:top w:val="single" w:color="auto" w:sz="4" w:space="0"/>
              <w:left w:val="single" w:color="auto" w:sz="4" w:space="0"/>
              <w:bottom w:val="single" w:color="auto" w:sz="4" w:space="0"/>
              <w:right w:val="single" w:color="auto" w:sz="4" w:space="0"/>
            </w:tcBorders>
            <w:vAlign w:val="center"/>
            <w:hideMark/>
          </w:tcPr>
          <w:p w:rsidRPr="00FD6D1C" w:rsidR="00FD6D1C" w:rsidP="00FD6D1C" w:rsidRDefault="00FD6D1C" w14:paraId="2F0AB80C" w14:textId="77777777">
            <w:pPr>
              <w:rPr>
                <w:b/>
                <w:bCs/>
                <w:color w:val="000000"/>
                <w:sz w:val="22"/>
                <w:szCs w:val="22"/>
                <w:lang w:eastAsia="en-GB"/>
              </w:rPr>
            </w:pPr>
          </w:p>
        </w:tc>
        <w:tc>
          <w:tcPr>
            <w:tcW w:w="132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494361BA" w14:textId="77777777">
            <w:pPr>
              <w:jc w:val="center"/>
              <w:rPr>
                <w:b/>
                <w:bCs/>
                <w:color w:val="000000"/>
                <w:sz w:val="22"/>
                <w:szCs w:val="22"/>
                <w:lang w:eastAsia="en-GB"/>
              </w:rPr>
            </w:pPr>
            <w:proofErr w:type="gramStart"/>
            <w:r w:rsidRPr="00FD6D1C">
              <w:rPr>
                <w:b/>
                <w:bCs/>
                <w:color w:val="000000"/>
                <w:sz w:val="22"/>
                <w:szCs w:val="22"/>
                <w:lang w:eastAsia="en-GB"/>
              </w:rPr>
              <w:t>October(</w:t>
            </w:r>
            <w:proofErr w:type="gramEnd"/>
            <w:r w:rsidRPr="00FD6D1C">
              <w:rPr>
                <w:b/>
                <w:bCs/>
                <w:color w:val="000000"/>
                <w:sz w:val="22"/>
                <w:szCs w:val="22"/>
                <w:lang w:eastAsia="en-GB"/>
              </w:rPr>
              <w:t>1)</w:t>
            </w:r>
          </w:p>
        </w:tc>
        <w:tc>
          <w:tcPr>
            <w:tcW w:w="1243" w:type="dxa"/>
            <w:vMerge/>
            <w:tcBorders>
              <w:top w:val="single" w:color="auto" w:sz="4" w:space="0"/>
              <w:left w:val="single" w:color="auto" w:sz="4" w:space="0"/>
              <w:bottom w:val="single" w:color="auto" w:sz="4" w:space="0"/>
              <w:right w:val="single" w:color="auto" w:sz="4" w:space="0"/>
            </w:tcBorders>
            <w:vAlign w:val="center"/>
            <w:hideMark/>
          </w:tcPr>
          <w:p w:rsidRPr="00FD6D1C" w:rsidR="00FD6D1C" w:rsidP="00FD6D1C" w:rsidRDefault="00FD6D1C" w14:paraId="3908ED58" w14:textId="77777777">
            <w:pPr>
              <w:rPr>
                <w:b/>
                <w:bCs/>
                <w:color w:val="000000"/>
                <w:sz w:val="22"/>
                <w:szCs w:val="22"/>
                <w:lang w:eastAsia="en-GB"/>
              </w:rPr>
            </w:pPr>
          </w:p>
        </w:tc>
        <w:tc>
          <w:tcPr>
            <w:tcW w:w="1036" w:type="dxa"/>
            <w:vMerge/>
            <w:tcBorders>
              <w:top w:val="single" w:color="auto" w:sz="4" w:space="0"/>
              <w:left w:val="single" w:color="auto" w:sz="4" w:space="0"/>
              <w:bottom w:val="single" w:color="auto" w:sz="4" w:space="0"/>
              <w:right w:val="single" w:color="auto" w:sz="4" w:space="0"/>
            </w:tcBorders>
            <w:vAlign w:val="center"/>
            <w:hideMark/>
          </w:tcPr>
          <w:p w:rsidRPr="00FD6D1C" w:rsidR="00FD6D1C" w:rsidP="00FD6D1C" w:rsidRDefault="00FD6D1C" w14:paraId="26861B77" w14:textId="77777777">
            <w:pPr>
              <w:rPr>
                <w:b/>
                <w:bCs/>
                <w:color w:val="000000"/>
                <w:sz w:val="22"/>
                <w:szCs w:val="22"/>
                <w:lang w:eastAsia="en-GB"/>
              </w:rPr>
            </w:pPr>
          </w:p>
        </w:tc>
        <w:tc>
          <w:tcPr>
            <w:tcW w:w="1109" w:type="dxa"/>
            <w:tcBorders>
              <w:top w:val="nil"/>
              <w:left w:val="nil"/>
              <w:bottom w:val="single" w:color="auto" w:sz="4" w:space="0"/>
              <w:right w:val="single" w:color="auto" w:sz="4" w:space="0"/>
            </w:tcBorders>
            <w:shd w:val="clear" w:color="auto" w:fill="auto"/>
            <w:vAlign w:val="center"/>
            <w:hideMark/>
          </w:tcPr>
          <w:p w:rsidRPr="00FD6D1C" w:rsidR="00FD6D1C" w:rsidP="00FD6D1C" w:rsidRDefault="00FD6D1C" w14:paraId="01D87D8D" w14:textId="77777777">
            <w:pPr>
              <w:jc w:val="center"/>
              <w:rPr>
                <w:b/>
                <w:bCs/>
                <w:color w:val="000000"/>
                <w:sz w:val="22"/>
                <w:szCs w:val="22"/>
                <w:lang w:eastAsia="en-GB"/>
              </w:rPr>
            </w:pPr>
            <w:r w:rsidRPr="00FD6D1C">
              <w:rPr>
                <w:b/>
                <w:bCs/>
                <w:color w:val="000000"/>
                <w:sz w:val="22"/>
                <w:szCs w:val="22"/>
                <w:lang w:eastAsia="en-GB"/>
              </w:rPr>
              <w:t>(Total)</w:t>
            </w:r>
          </w:p>
        </w:tc>
        <w:tc>
          <w:tcPr>
            <w:tcW w:w="1279" w:type="dxa"/>
            <w:vMerge/>
            <w:tcBorders>
              <w:top w:val="single" w:color="auto" w:sz="4" w:space="0"/>
              <w:left w:val="single" w:color="auto" w:sz="4" w:space="0"/>
              <w:bottom w:val="single" w:color="auto" w:sz="4" w:space="0"/>
              <w:right w:val="single" w:color="auto" w:sz="4" w:space="0"/>
            </w:tcBorders>
            <w:vAlign w:val="center"/>
            <w:hideMark/>
          </w:tcPr>
          <w:p w:rsidRPr="00FD6D1C" w:rsidR="00FD6D1C" w:rsidP="00FD6D1C" w:rsidRDefault="00FD6D1C" w14:paraId="69552B1D" w14:textId="77777777">
            <w:pPr>
              <w:rPr>
                <w:b/>
                <w:bCs/>
                <w:color w:val="000000"/>
                <w:sz w:val="22"/>
                <w:szCs w:val="22"/>
                <w:lang w:eastAsia="en-GB"/>
              </w:rPr>
            </w:pPr>
          </w:p>
        </w:tc>
        <w:tc>
          <w:tcPr>
            <w:tcW w:w="1060" w:type="dxa"/>
            <w:tcBorders>
              <w:top w:val="nil"/>
              <w:left w:val="nil"/>
              <w:bottom w:val="single" w:color="auto" w:sz="4" w:space="0"/>
              <w:right w:val="single" w:color="auto" w:sz="4" w:space="0"/>
            </w:tcBorders>
            <w:shd w:val="clear" w:color="auto" w:fill="auto"/>
            <w:vAlign w:val="center"/>
            <w:hideMark/>
          </w:tcPr>
          <w:p w:rsidRPr="00FD6D1C" w:rsidR="00FD6D1C" w:rsidP="00FD6D1C" w:rsidRDefault="00FD6D1C" w14:paraId="0363EDC7" w14:textId="77777777">
            <w:pPr>
              <w:jc w:val="center"/>
              <w:rPr>
                <w:b/>
                <w:bCs/>
                <w:color w:val="000000"/>
                <w:sz w:val="22"/>
                <w:szCs w:val="22"/>
                <w:lang w:eastAsia="en-GB"/>
              </w:rPr>
            </w:pPr>
            <w:r w:rsidRPr="00FD6D1C">
              <w:rPr>
                <w:b/>
                <w:bCs/>
                <w:color w:val="000000"/>
                <w:sz w:val="22"/>
                <w:szCs w:val="22"/>
                <w:lang w:eastAsia="en-GB"/>
              </w:rPr>
              <w:t>Year 7</w:t>
            </w:r>
          </w:p>
        </w:tc>
        <w:tc>
          <w:tcPr>
            <w:tcW w:w="1060" w:type="dxa"/>
            <w:vMerge/>
            <w:tcBorders>
              <w:top w:val="single" w:color="auto" w:sz="4" w:space="0"/>
              <w:left w:val="single" w:color="auto" w:sz="4" w:space="0"/>
              <w:bottom w:val="single" w:color="auto" w:sz="4" w:space="0"/>
              <w:right w:val="single" w:color="auto" w:sz="4" w:space="0"/>
            </w:tcBorders>
            <w:vAlign w:val="center"/>
            <w:hideMark/>
          </w:tcPr>
          <w:p w:rsidRPr="00FD6D1C" w:rsidR="00FD6D1C" w:rsidP="00FD6D1C" w:rsidRDefault="00FD6D1C" w14:paraId="2BA5A789" w14:textId="77777777">
            <w:pPr>
              <w:rPr>
                <w:b/>
                <w:bCs/>
                <w:color w:val="000000"/>
                <w:sz w:val="22"/>
                <w:szCs w:val="22"/>
                <w:lang w:eastAsia="en-GB"/>
              </w:rPr>
            </w:pPr>
          </w:p>
        </w:tc>
      </w:tr>
      <w:tr w:rsidRPr="00FD6D1C" w:rsidR="00FD6D1C" w:rsidTr="00FD6D1C" w14:paraId="024EB6C4" w14:textId="77777777">
        <w:trPr>
          <w:trHeight w:val="300"/>
        </w:trPr>
        <w:tc>
          <w:tcPr>
            <w:tcW w:w="1321" w:type="dxa"/>
            <w:tcBorders>
              <w:top w:val="nil"/>
              <w:left w:val="single" w:color="auto" w:sz="4" w:space="0"/>
              <w:bottom w:val="single" w:color="auto" w:sz="4" w:space="0"/>
              <w:right w:val="single" w:color="auto" w:sz="4" w:space="0"/>
            </w:tcBorders>
            <w:shd w:val="clear" w:color="auto" w:fill="auto"/>
            <w:noWrap/>
            <w:vAlign w:val="center"/>
            <w:hideMark/>
          </w:tcPr>
          <w:p w:rsidRPr="00FD6D1C" w:rsidR="00FD6D1C" w:rsidP="00FD6D1C" w:rsidRDefault="00FD6D1C" w14:paraId="153F0BC3" w14:textId="77777777">
            <w:pPr>
              <w:jc w:val="center"/>
              <w:rPr>
                <w:color w:val="000000"/>
                <w:sz w:val="22"/>
                <w:szCs w:val="22"/>
                <w:lang w:eastAsia="en-GB"/>
              </w:rPr>
            </w:pPr>
            <w:r w:rsidRPr="00FD6D1C">
              <w:rPr>
                <w:color w:val="000000"/>
                <w:sz w:val="22"/>
                <w:szCs w:val="22"/>
                <w:lang w:eastAsia="en-GB"/>
              </w:rPr>
              <w:t>Sep-13</w:t>
            </w:r>
          </w:p>
        </w:tc>
        <w:tc>
          <w:tcPr>
            <w:tcW w:w="132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2EB2E52C" w14:textId="77777777">
            <w:pPr>
              <w:jc w:val="center"/>
              <w:rPr>
                <w:color w:val="000000"/>
                <w:sz w:val="22"/>
                <w:szCs w:val="22"/>
                <w:lang w:eastAsia="en-GB"/>
              </w:rPr>
            </w:pPr>
            <w:r w:rsidRPr="00FD6D1C">
              <w:rPr>
                <w:color w:val="000000"/>
                <w:sz w:val="22"/>
                <w:szCs w:val="22"/>
                <w:lang w:eastAsia="en-GB"/>
              </w:rPr>
              <w:t>2,329</w:t>
            </w:r>
          </w:p>
        </w:tc>
        <w:tc>
          <w:tcPr>
            <w:tcW w:w="1243"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200E9EB4" w14:textId="77777777">
            <w:pPr>
              <w:jc w:val="center"/>
              <w:rPr>
                <w:color w:val="000000"/>
                <w:sz w:val="22"/>
                <w:szCs w:val="22"/>
                <w:lang w:eastAsia="en-GB"/>
              </w:rPr>
            </w:pPr>
            <w:r w:rsidRPr="00FD6D1C">
              <w:rPr>
                <w:color w:val="000000"/>
                <w:sz w:val="22"/>
                <w:szCs w:val="22"/>
                <w:lang w:eastAsia="en-GB"/>
              </w:rPr>
              <w:t>129</w:t>
            </w:r>
          </w:p>
        </w:tc>
        <w:tc>
          <w:tcPr>
            <w:tcW w:w="1036"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6BEB316F" w14:textId="77777777">
            <w:pPr>
              <w:jc w:val="center"/>
              <w:rPr>
                <w:color w:val="000000"/>
                <w:sz w:val="22"/>
                <w:szCs w:val="22"/>
                <w:lang w:eastAsia="en-GB"/>
              </w:rPr>
            </w:pPr>
            <w:r w:rsidRPr="00FD6D1C">
              <w:rPr>
                <w:color w:val="000000"/>
                <w:sz w:val="22"/>
                <w:szCs w:val="22"/>
                <w:lang w:eastAsia="en-GB"/>
              </w:rPr>
              <w:t>2,458</w:t>
            </w:r>
          </w:p>
        </w:tc>
        <w:tc>
          <w:tcPr>
            <w:tcW w:w="110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38D46B8E" w14:textId="77777777">
            <w:pPr>
              <w:jc w:val="center"/>
              <w:rPr>
                <w:color w:val="000000"/>
                <w:sz w:val="22"/>
                <w:szCs w:val="22"/>
                <w:lang w:eastAsia="en-GB"/>
              </w:rPr>
            </w:pPr>
            <w:r w:rsidRPr="00FD6D1C">
              <w:rPr>
                <w:color w:val="000000"/>
                <w:sz w:val="22"/>
                <w:szCs w:val="22"/>
                <w:lang w:eastAsia="en-GB"/>
              </w:rPr>
              <w:t>-</w:t>
            </w:r>
          </w:p>
        </w:tc>
        <w:tc>
          <w:tcPr>
            <w:tcW w:w="127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482F06B8" w14:textId="77777777">
            <w:pPr>
              <w:jc w:val="center"/>
              <w:rPr>
                <w:color w:val="000000"/>
                <w:sz w:val="22"/>
                <w:szCs w:val="22"/>
                <w:lang w:eastAsia="en-GB"/>
              </w:rPr>
            </w:pPr>
            <w:r w:rsidRPr="00FD6D1C">
              <w:rPr>
                <w:color w:val="000000"/>
                <w:sz w:val="22"/>
                <w:szCs w:val="22"/>
                <w:lang w:eastAsia="en-GB"/>
              </w:rPr>
              <w:t>-</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4F219C68" w14:textId="77777777">
            <w:pPr>
              <w:jc w:val="center"/>
              <w:rPr>
                <w:color w:val="000000"/>
                <w:sz w:val="22"/>
                <w:szCs w:val="22"/>
                <w:lang w:eastAsia="en-GB"/>
              </w:rPr>
            </w:pPr>
            <w:r w:rsidRPr="00FD6D1C">
              <w:rPr>
                <w:rFonts w:eastAsia="Calibri"/>
                <w:color w:val="000000"/>
                <w:sz w:val="22"/>
                <w:szCs w:val="22"/>
                <w:lang w:eastAsia="en-GB"/>
              </w:rPr>
              <w:t>1,982</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577A1A45" w14:textId="77777777">
            <w:pPr>
              <w:jc w:val="center"/>
              <w:rPr>
                <w:color w:val="000000"/>
                <w:sz w:val="22"/>
                <w:szCs w:val="22"/>
                <w:lang w:eastAsia="en-GB"/>
              </w:rPr>
            </w:pPr>
            <w:r w:rsidRPr="00FD6D1C">
              <w:rPr>
                <w:color w:val="000000"/>
                <w:sz w:val="22"/>
                <w:szCs w:val="22"/>
                <w:lang w:eastAsia="en-GB"/>
              </w:rPr>
              <w:t>80.6%</w:t>
            </w:r>
          </w:p>
        </w:tc>
      </w:tr>
      <w:tr w:rsidRPr="00FD6D1C" w:rsidR="00FD6D1C" w:rsidTr="00FD6D1C" w14:paraId="0D9EB95D" w14:textId="77777777">
        <w:trPr>
          <w:trHeight w:val="300"/>
        </w:trPr>
        <w:tc>
          <w:tcPr>
            <w:tcW w:w="1321" w:type="dxa"/>
            <w:tcBorders>
              <w:top w:val="nil"/>
              <w:left w:val="single" w:color="auto" w:sz="4" w:space="0"/>
              <w:bottom w:val="single" w:color="auto" w:sz="4" w:space="0"/>
              <w:right w:val="single" w:color="auto" w:sz="4" w:space="0"/>
            </w:tcBorders>
            <w:shd w:val="clear" w:color="auto" w:fill="auto"/>
            <w:noWrap/>
            <w:vAlign w:val="center"/>
            <w:hideMark/>
          </w:tcPr>
          <w:p w:rsidRPr="00FD6D1C" w:rsidR="00FD6D1C" w:rsidP="00FD6D1C" w:rsidRDefault="00FD6D1C" w14:paraId="20C62DAF" w14:textId="77777777">
            <w:pPr>
              <w:jc w:val="center"/>
              <w:rPr>
                <w:color w:val="000000"/>
                <w:sz w:val="22"/>
                <w:szCs w:val="22"/>
                <w:lang w:eastAsia="en-GB"/>
              </w:rPr>
            </w:pPr>
            <w:r w:rsidRPr="00FD6D1C">
              <w:rPr>
                <w:color w:val="000000"/>
                <w:sz w:val="22"/>
                <w:szCs w:val="22"/>
                <w:lang w:eastAsia="en-GB"/>
              </w:rPr>
              <w:t>Sep-14</w:t>
            </w:r>
          </w:p>
        </w:tc>
        <w:tc>
          <w:tcPr>
            <w:tcW w:w="132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6DD35A0E" w14:textId="77777777">
            <w:pPr>
              <w:jc w:val="center"/>
              <w:rPr>
                <w:color w:val="000000"/>
                <w:sz w:val="22"/>
                <w:szCs w:val="22"/>
                <w:lang w:eastAsia="en-GB"/>
              </w:rPr>
            </w:pPr>
            <w:r w:rsidRPr="00FD6D1C">
              <w:rPr>
                <w:color w:val="000000"/>
                <w:sz w:val="22"/>
                <w:szCs w:val="22"/>
                <w:lang w:eastAsia="en-GB"/>
              </w:rPr>
              <w:t>2,475</w:t>
            </w:r>
          </w:p>
        </w:tc>
        <w:tc>
          <w:tcPr>
            <w:tcW w:w="1243"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6032C6DE" w14:textId="77777777">
            <w:pPr>
              <w:jc w:val="center"/>
              <w:rPr>
                <w:color w:val="000000"/>
                <w:sz w:val="22"/>
                <w:szCs w:val="22"/>
                <w:lang w:eastAsia="en-GB"/>
              </w:rPr>
            </w:pPr>
            <w:r w:rsidRPr="00FD6D1C">
              <w:rPr>
                <w:color w:val="000000"/>
                <w:sz w:val="22"/>
                <w:szCs w:val="22"/>
                <w:lang w:eastAsia="en-GB"/>
              </w:rPr>
              <w:t>167</w:t>
            </w:r>
          </w:p>
        </w:tc>
        <w:tc>
          <w:tcPr>
            <w:tcW w:w="1036"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7040F30" w14:textId="77777777">
            <w:pPr>
              <w:jc w:val="center"/>
              <w:rPr>
                <w:color w:val="000000"/>
                <w:sz w:val="22"/>
                <w:szCs w:val="22"/>
                <w:lang w:eastAsia="en-GB"/>
              </w:rPr>
            </w:pPr>
            <w:r w:rsidRPr="00FD6D1C">
              <w:rPr>
                <w:color w:val="000000"/>
                <w:sz w:val="22"/>
                <w:szCs w:val="22"/>
                <w:lang w:eastAsia="en-GB"/>
              </w:rPr>
              <w:t>2,642</w:t>
            </w:r>
          </w:p>
        </w:tc>
        <w:tc>
          <w:tcPr>
            <w:tcW w:w="110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1C7646E" w14:textId="77777777">
            <w:pPr>
              <w:jc w:val="center"/>
              <w:rPr>
                <w:color w:val="000000"/>
                <w:sz w:val="22"/>
                <w:szCs w:val="22"/>
                <w:lang w:eastAsia="en-GB"/>
              </w:rPr>
            </w:pPr>
            <w:r w:rsidRPr="00FD6D1C">
              <w:rPr>
                <w:color w:val="000000"/>
                <w:sz w:val="22"/>
                <w:szCs w:val="22"/>
                <w:lang w:eastAsia="en-GB"/>
              </w:rPr>
              <w:t>184</w:t>
            </w:r>
          </w:p>
        </w:tc>
        <w:tc>
          <w:tcPr>
            <w:tcW w:w="127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29648815" w14:textId="77777777">
            <w:pPr>
              <w:jc w:val="center"/>
              <w:rPr>
                <w:color w:val="000000"/>
                <w:sz w:val="22"/>
                <w:szCs w:val="22"/>
                <w:lang w:eastAsia="en-GB"/>
              </w:rPr>
            </w:pPr>
            <w:r w:rsidRPr="00FD6D1C">
              <w:rPr>
                <w:color w:val="000000"/>
                <w:sz w:val="22"/>
                <w:szCs w:val="22"/>
                <w:lang w:eastAsia="en-GB"/>
              </w:rPr>
              <w:t>7.49%</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0C56958" w14:textId="77777777">
            <w:pPr>
              <w:jc w:val="center"/>
              <w:rPr>
                <w:color w:val="000000"/>
                <w:sz w:val="22"/>
                <w:szCs w:val="22"/>
                <w:lang w:eastAsia="en-GB"/>
              </w:rPr>
            </w:pPr>
            <w:r w:rsidRPr="00FD6D1C">
              <w:rPr>
                <w:rFonts w:eastAsia="Calibri"/>
                <w:color w:val="000000"/>
                <w:sz w:val="22"/>
                <w:szCs w:val="22"/>
                <w:lang w:eastAsia="en-GB"/>
              </w:rPr>
              <w:t>2,160</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00671509" w14:textId="77777777">
            <w:pPr>
              <w:jc w:val="center"/>
              <w:rPr>
                <w:color w:val="000000"/>
                <w:sz w:val="22"/>
                <w:szCs w:val="22"/>
                <w:lang w:eastAsia="en-GB"/>
              </w:rPr>
            </w:pPr>
            <w:r w:rsidRPr="00FD6D1C">
              <w:rPr>
                <w:color w:val="000000"/>
                <w:sz w:val="22"/>
                <w:szCs w:val="22"/>
                <w:lang w:eastAsia="en-GB"/>
              </w:rPr>
              <w:t>81.8%</w:t>
            </w:r>
          </w:p>
        </w:tc>
      </w:tr>
      <w:tr w:rsidRPr="00FD6D1C" w:rsidR="00FD6D1C" w:rsidTr="00FD6D1C" w14:paraId="070F56AC" w14:textId="77777777">
        <w:trPr>
          <w:trHeight w:val="300"/>
        </w:trPr>
        <w:tc>
          <w:tcPr>
            <w:tcW w:w="1321" w:type="dxa"/>
            <w:tcBorders>
              <w:top w:val="nil"/>
              <w:left w:val="single" w:color="auto" w:sz="4" w:space="0"/>
              <w:bottom w:val="single" w:color="auto" w:sz="4" w:space="0"/>
              <w:right w:val="single" w:color="auto" w:sz="4" w:space="0"/>
            </w:tcBorders>
            <w:shd w:val="clear" w:color="auto" w:fill="auto"/>
            <w:noWrap/>
            <w:vAlign w:val="center"/>
            <w:hideMark/>
          </w:tcPr>
          <w:p w:rsidRPr="00FD6D1C" w:rsidR="00FD6D1C" w:rsidP="00FD6D1C" w:rsidRDefault="00FD6D1C" w14:paraId="1D39D604" w14:textId="77777777">
            <w:pPr>
              <w:jc w:val="center"/>
              <w:rPr>
                <w:color w:val="000000"/>
                <w:sz w:val="22"/>
                <w:szCs w:val="22"/>
                <w:lang w:eastAsia="en-GB"/>
              </w:rPr>
            </w:pPr>
            <w:r w:rsidRPr="00FD6D1C">
              <w:rPr>
                <w:color w:val="000000"/>
                <w:sz w:val="22"/>
                <w:szCs w:val="22"/>
                <w:lang w:eastAsia="en-GB"/>
              </w:rPr>
              <w:t>Sep-15</w:t>
            </w:r>
          </w:p>
        </w:tc>
        <w:tc>
          <w:tcPr>
            <w:tcW w:w="132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4ED42642" w14:textId="77777777">
            <w:pPr>
              <w:jc w:val="center"/>
              <w:rPr>
                <w:color w:val="000000"/>
                <w:sz w:val="22"/>
                <w:szCs w:val="22"/>
                <w:lang w:eastAsia="en-GB"/>
              </w:rPr>
            </w:pPr>
            <w:r w:rsidRPr="00FD6D1C">
              <w:rPr>
                <w:color w:val="000000"/>
                <w:sz w:val="22"/>
                <w:szCs w:val="22"/>
                <w:lang w:eastAsia="en-GB"/>
              </w:rPr>
              <w:t>2,557</w:t>
            </w:r>
          </w:p>
        </w:tc>
        <w:tc>
          <w:tcPr>
            <w:tcW w:w="1243"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3BCC96FB" w14:textId="77777777">
            <w:pPr>
              <w:jc w:val="center"/>
              <w:rPr>
                <w:color w:val="000000"/>
                <w:sz w:val="22"/>
                <w:szCs w:val="22"/>
                <w:lang w:eastAsia="en-GB"/>
              </w:rPr>
            </w:pPr>
            <w:r w:rsidRPr="00FD6D1C">
              <w:rPr>
                <w:color w:val="000000"/>
                <w:sz w:val="22"/>
                <w:szCs w:val="22"/>
                <w:lang w:eastAsia="en-GB"/>
              </w:rPr>
              <w:t>167</w:t>
            </w:r>
          </w:p>
        </w:tc>
        <w:tc>
          <w:tcPr>
            <w:tcW w:w="1036"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32C8EF54" w14:textId="77777777">
            <w:pPr>
              <w:jc w:val="center"/>
              <w:rPr>
                <w:color w:val="000000"/>
                <w:sz w:val="22"/>
                <w:szCs w:val="22"/>
                <w:lang w:eastAsia="en-GB"/>
              </w:rPr>
            </w:pPr>
            <w:r w:rsidRPr="00FD6D1C">
              <w:rPr>
                <w:color w:val="000000"/>
                <w:sz w:val="22"/>
                <w:szCs w:val="22"/>
                <w:lang w:eastAsia="en-GB"/>
              </w:rPr>
              <w:t>2,724</w:t>
            </w:r>
          </w:p>
        </w:tc>
        <w:tc>
          <w:tcPr>
            <w:tcW w:w="110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619242AE" w14:textId="77777777">
            <w:pPr>
              <w:jc w:val="center"/>
              <w:rPr>
                <w:color w:val="000000"/>
                <w:sz w:val="22"/>
                <w:szCs w:val="22"/>
                <w:lang w:eastAsia="en-GB"/>
              </w:rPr>
            </w:pPr>
            <w:r w:rsidRPr="00FD6D1C">
              <w:rPr>
                <w:color w:val="000000"/>
                <w:sz w:val="22"/>
                <w:szCs w:val="22"/>
                <w:lang w:eastAsia="en-GB"/>
              </w:rPr>
              <w:t>82</w:t>
            </w:r>
          </w:p>
        </w:tc>
        <w:tc>
          <w:tcPr>
            <w:tcW w:w="127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4314ECE5" w14:textId="77777777">
            <w:pPr>
              <w:jc w:val="center"/>
              <w:rPr>
                <w:color w:val="000000"/>
                <w:sz w:val="22"/>
                <w:szCs w:val="22"/>
                <w:lang w:eastAsia="en-GB"/>
              </w:rPr>
            </w:pPr>
            <w:r w:rsidRPr="00FD6D1C">
              <w:rPr>
                <w:color w:val="000000"/>
                <w:sz w:val="22"/>
                <w:szCs w:val="22"/>
                <w:lang w:eastAsia="en-GB"/>
              </w:rPr>
              <w:t>3.10%</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4D0E54F" w14:textId="77777777">
            <w:pPr>
              <w:jc w:val="center"/>
              <w:rPr>
                <w:color w:val="000000"/>
                <w:sz w:val="22"/>
                <w:szCs w:val="22"/>
                <w:lang w:eastAsia="en-GB"/>
              </w:rPr>
            </w:pPr>
            <w:r w:rsidRPr="00FD6D1C">
              <w:rPr>
                <w:rFonts w:eastAsia="Calibri"/>
                <w:color w:val="000000"/>
                <w:sz w:val="22"/>
                <w:szCs w:val="22"/>
                <w:lang w:eastAsia="en-GB"/>
              </w:rPr>
              <w:t>2,204</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2CF9D28E" w14:textId="77777777">
            <w:pPr>
              <w:jc w:val="center"/>
              <w:rPr>
                <w:color w:val="000000"/>
                <w:sz w:val="22"/>
                <w:szCs w:val="22"/>
                <w:lang w:eastAsia="en-GB"/>
              </w:rPr>
            </w:pPr>
            <w:r w:rsidRPr="00FD6D1C">
              <w:rPr>
                <w:color w:val="000000"/>
                <w:sz w:val="22"/>
                <w:szCs w:val="22"/>
                <w:lang w:eastAsia="en-GB"/>
              </w:rPr>
              <w:t>80.9%</w:t>
            </w:r>
          </w:p>
        </w:tc>
      </w:tr>
      <w:tr w:rsidRPr="00FD6D1C" w:rsidR="00FD6D1C" w:rsidTr="00FD6D1C" w14:paraId="70094135" w14:textId="77777777">
        <w:trPr>
          <w:trHeight w:val="300"/>
        </w:trPr>
        <w:tc>
          <w:tcPr>
            <w:tcW w:w="1321" w:type="dxa"/>
            <w:tcBorders>
              <w:top w:val="nil"/>
              <w:left w:val="single" w:color="auto" w:sz="4" w:space="0"/>
              <w:bottom w:val="single" w:color="auto" w:sz="4" w:space="0"/>
              <w:right w:val="single" w:color="auto" w:sz="4" w:space="0"/>
            </w:tcBorders>
            <w:shd w:val="clear" w:color="auto" w:fill="auto"/>
            <w:noWrap/>
            <w:vAlign w:val="center"/>
            <w:hideMark/>
          </w:tcPr>
          <w:p w:rsidRPr="00FD6D1C" w:rsidR="00FD6D1C" w:rsidP="00FD6D1C" w:rsidRDefault="00FD6D1C" w14:paraId="727CCA17" w14:textId="77777777">
            <w:pPr>
              <w:jc w:val="center"/>
              <w:rPr>
                <w:color w:val="000000"/>
                <w:sz w:val="22"/>
                <w:szCs w:val="22"/>
                <w:lang w:eastAsia="en-GB"/>
              </w:rPr>
            </w:pPr>
            <w:r w:rsidRPr="00FD6D1C">
              <w:rPr>
                <w:color w:val="000000"/>
                <w:sz w:val="22"/>
                <w:szCs w:val="22"/>
                <w:lang w:eastAsia="en-GB"/>
              </w:rPr>
              <w:t>Sep-16</w:t>
            </w:r>
          </w:p>
        </w:tc>
        <w:tc>
          <w:tcPr>
            <w:tcW w:w="132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3861CABE" w14:textId="77777777">
            <w:pPr>
              <w:jc w:val="center"/>
              <w:rPr>
                <w:color w:val="000000"/>
                <w:sz w:val="22"/>
                <w:szCs w:val="22"/>
                <w:lang w:eastAsia="en-GB"/>
              </w:rPr>
            </w:pPr>
            <w:r w:rsidRPr="00FD6D1C">
              <w:rPr>
                <w:color w:val="000000"/>
                <w:sz w:val="22"/>
                <w:szCs w:val="22"/>
                <w:lang w:eastAsia="en-GB"/>
              </w:rPr>
              <w:t>2,676</w:t>
            </w:r>
          </w:p>
        </w:tc>
        <w:tc>
          <w:tcPr>
            <w:tcW w:w="1243"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AABB491" w14:textId="77777777">
            <w:pPr>
              <w:jc w:val="center"/>
              <w:rPr>
                <w:color w:val="000000"/>
                <w:sz w:val="22"/>
                <w:szCs w:val="22"/>
                <w:lang w:eastAsia="en-GB"/>
              </w:rPr>
            </w:pPr>
            <w:r w:rsidRPr="00FD6D1C">
              <w:rPr>
                <w:color w:val="000000"/>
                <w:sz w:val="22"/>
                <w:szCs w:val="22"/>
                <w:lang w:eastAsia="en-GB"/>
              </w:rPr>
              <w:t>142</w:t>
            </w:r>
          </w:p>
        </w:tc>
        <w:tc>
          <w:tcPr>
            <w:tcW w:w="1036"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483AD479" w14:textId="77777777">
            <w:pPr>
              <w:jc w:val="center"/>
              <w:rPr>
                <w:color w:val="000000"/>
                <w:sz w:val="22"/>
                <w:szCs w:val="22"/>
                <w:lang w:eastAsia="en-GB"/>
              </w:rPr>
            </w:pPr>
            <w:r w:rsidRPr="00FD6D1C">
              <w:rPr>
                <w:color w:val="000000"/>
                <w:sz w:val="22"/>
                <w:szCs w:val="22"/>
                <w:lang w:eastAsia="en-GB"/>
              </w:rPr>
              <w:t>2,818</w:t>
            </w:r>
          </w:p>
        </w:tc>
        <w:tc>
          <w:tcPr>
            <w:tcW w:w="110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3F60FD5" w14:textId="77777777">
            <w:pPr>
              <w:jc w:val="center"/>
              <w:rPr>
                <w:color w:val="000000"/>
                <w:sz w:val="22"/>
                <w:szCs w:val="22"/>
                <w:lang w:eastAsia="en-GB"/>
              </w:rPr>
            </w:pPr>
            <w:r w:rsidRPr="00FD6D1C">
              <w:rPr>
                <w:color w:val="000000"/>
                <w:sz w:val="22"/>
                <w:szCs w:val="22"/>
                <w:lang w:eastAsia="en-GB"/>
              </w:rPr>
              <w:t>94</w:t>
            </w:r>
          </w:p>
        </w:tc>
        <w:tc>
          <w:tcPr>
            <w:tcW w:w="127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61CA2B1B" w14:textId="77777777">
            <w:pPr>
              <w:jc w:val="center"/>
              <w:rPr>
                <w:color w:val="000000"/>
                <w:sz w:val="22"/>
                <w:szCs w:val="22"/>
                <w:lang w:eastAsia="en-GB"/>
              </w:rPr>
            </w:pPr>
            <w:r w:rsidRPr="00FD6D1C">
              <w:rPr>
                <w:rFonts w:eastAsia="Calibri"/>
                <w:color w:val="000000"/>
                <w:sz w:val="22"/>
                <w:szCs w:val="22"/>
                <w:lang w:eastAsia="en-GB"/>
              </w:rPr>
              <w:t>3.45%</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23E484A6" w14:textId="77777777">
            <w:pPr>
              <w:jc w:val="center"/>
              <w:rPr>
                <w:color w:val="000000"/>
                <w:sz w:val="22"/>
                <w:szCs w:val="22"/>
                <w:lang w:eastAsia="en-GB"/>
              </w:rPr>
            </w:pPr>
            <w:r w:rsidRPr="00FD6D1C">
              <w:rPr>
                <w:rFonts w:eastAsia="Calibri"/>
                <w:color w:val="000000"/>
                <w:sz w:val="22"/>
                <w:szCs w:val="22"/>
                <w:lang w:eastAsia="en-GB"/>
              </w:rPr>
              <w:t>2,377</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0C1A5FB" w14:textId="77777777">
            <w:pPr>
              <w:jc w:val="center"/>
              <w:rPr>
                <w:color w:val="000000"/>
                <w:sz w:val="22"/>
                <w:szCs w:val="22"/>
                <w:lang w:eastAsia="en-GB"/>
              </w:rPr>
            </w:pPr>
            <w:r w:rsidRPr="00FD6D1C">
              <w:rPr>
                <w:rFonts w:eastAsia="Calibri"/>
                <w:color w:val="000000"/>
                <w:sz w:val="22"/>
                <w:szCs w:val="22"/>
                <w:lang w:eastAsia="en-GB"/>
              </w:rPr>
              <w:t>84.4%</w:t>
            </w:r>
          </w:p>
        </w:tc>
      </w:tr>
      <w:tr w:rsidRPr="00FD6D1C" w:rsidR="00FD6D1C" w:rsidTr="00FD6D1C" w14:paraId="3C7BF158" w14:textId="77777777">
        <w:trPr>
          <w:trHeight w:val="300"/>
        </w:trPr>
        <w:tc>
          <w:tcPr>
            <w:tcW w:w="1321" w:type="dxa"/>
            <w:tcBorders>
              <w:top w:val="nil"/>
              <w:left w:val="single" w:color="auto" w:sz="4" w:space="0"/>
              <w:bottom w:val="single" w:color="auto" w:sz="4" w:space="0"/>
              <w:right w:val="single" w:color="auto" w:sz="4" w:space="0"/>
            </w:tcBorders>
            <w:shd w:val="clear" w:color="auto" w:fill="auto"/>
            <w:noWrap/>
            <w:vAlign w:val="center"/>
            <w:hideMark/>
          </w:tcPr>
          <w:p w:rsidRPr="00FD6D1C" w:rsidR="00FD6D1C" w:rsidP="00FD6D1C" w:rsidRDefault="00FD6D1C" w14:paraId="2E1782D8" w14:textId="77777777">
            <w:pPr>
              <w:jc w:val="center"/>
              <w:rPr>
                <w:color w:val="000000"/>
                <w:sz w:val="22"/>
                <w:szCs w:val="22"/>
                <w:lang w:eastAsia="en-GB"/>
              </w:rPr>
            </w:pPr>
            <w:r w:rsidRPr="00FD6D1C">
              <w:rPr>
                <w:color w:val="000000"/>
                <w:sz w:val="22"/>
                <w:szCs w:val="22"/>
                <w:lang w:eastAsia="en-GB"/>
              </w:rPr>
              <w:t>Sep-17</w:t>
            </w:r>
          </w:p>
        </w:tc>
        <w:tc>
          <w:tcPr>
            <w:tcW w:w="132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57036438" w14:textId="77777777">
            <w:pPr>
              <w:jc w:val="center"/>
              <w:rPr>
                <w:color w:val="000000"/>
                <w:sz w:val="22"/>
                <w:szCs w:val="22"/>
                <w:lang w:eastAsia="en-GB"/>
              </w:rPr>
            </w:pPr>
            <w:r w:rsidRPr="00FD6D1C">
              <w:rPr>
                <w:color w:val="000000"/>
                <w:sz w:val="22"/>
                <w:szCs w:val="22"/>
                <w:lang w:eastAsia="en-GB"/>
              </w:rPr>
              <w:t>2,753</w:t>
            </w:r>
          </w:p>
        </w:tc>
        <w:tc>
          <w:tcPr>
            <w:tcW w:w="1243"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3828AAAF" w14:textId="77777777">
            <w:pPr>
              <w:jc w:val="center"/>
              <w:rPr>
                <w:color w:val="000000"/>
                <w:sz w:val="22"/>
                <w:szCs w:val="22"/>
                <w:lang w:eastAsia="en-GB"/>
              </w:rPr>
            </w:pPr>
            <w:r w:rsidRPr="00FD6D1C">
              <w:rPr>
                <w:color w:val="000000"/>
                <w:sz w:val="22"/>
                <w:szCs w:val="22"/>
                <w:lang w:eastAsia="en-GB"/>
              </w:rPr>
              <w:t>75</w:t>
            </w:r>
          </w:p>
        </w:tc>
        <w:tc>
          <w:tcPr>
            <w:tcW w:w="1036"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0B28DC76" w14:textId="77777777">
            <w:pPr>
              <w:jc w:val="center"/>
              <w:rPr>
                <w:color w:val="000000"/>
                <w:sz w:val="22"/>
                <w:szCs w:val="22"/>
                <w:lang w:eastAsia="en-GB"/>
              </w:rPr>
            </w:pPr>
            <w:r w:rsidRPr="00FD6D1C">
              <w:rPr>
                <w:color w:val="000000"/>
                <w:sz w:val="22"/>
                <w:szCs w:val="22"/>
                <w:lang w:eastAsia="en-GB"/>
              </w:rPr>
              <w:t>2,828</w:t>
            </w:r>
          </w:p>
        </w:tc>
        <w:tc>
          <w:tcPr>
            <w:tcW w:w="110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399E4906" w14:textId="77777777">
            <w:pPr>
              <w:jc w:val="center"/>
              <w:rPr>
                <w:color w:val="000000"/>
                <w:sz w:val="22"/>
                <w:szCs w:val="22"/>
                <w:lang w:eastAsia="en-GB"/>
              </w:rPr>
            </w:pPr>
            <w:r w:rsidRPr="00FD6D1C">
              <w:rPr>
                <w:color w:val="000000"/>
                <w:sz w:val="22"/>
                <w:szCs w:val="22"/>
                <w:lang w:eastAsia="en-GB"/>
              </w:rPr>
              <w:t>10</w:t>
            </w:r>
          </w:p>
        </w:tc>
        <w:tc>
          <w:tcPr>
            <w:tcW w:w="127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086440D4" w14:textId="77777777">
            <w:pPr>
              <w:jc w:val="center"/>
              <w:rPr>
                <w:color w:val="000000"/>
                <w:sz w:val="22"/>
                <w:szCs w:val="22"/>
                <w:lang w:eastAsia="en-GB"/>
              </w:rPr>
            </w:pPr>
            <w:r w:rsidRPr="00FD6D1C">
              <w:rPr>
                <w:rFonts w:eastAsia="Calibri"/>
                <w:color w:val="000000"/>
                <w:sz w:val="22"/>
                <w:szCs w:val="22"/>
                <w:lang w:eastAsia="en-GB"/>
              </w:rPr>
              <w:t>0.35%</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0917A9BC" w14:textId="77777777">
            <w:pPr>
              <w:jc w:val="center"/>
              <w:rPr>
                <w:color w:val="000000"/>
                <w:sz w:val="22"/>
                <w:szCs w:val="22"/>
                <w:lang w:eastAsia="en-GB"/>
              </w:rPr>
            </w:pPr>
            <w:r w:rsidRPr="00FD6D1C">
              <w:rPr>
                <w:color w:val="000000"/>
                <w:sz w:val="22"/>
                <w:szCs w:val="22"/>
                <w:lang w:eastAsia="en-GB"/>
              </w:rPr>
              <w:t>2,347</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6BD744EC" w14:textId="77777777">
            <w:pPr>
              <w:jc w:val="center"/>
              <w:rPr>
                <w:color w:val="000000"/>
                <w:sz w:val="22"/>
                <w:szCs w:val="22"/>
                <w:lang w:eastAsia="en-GB"/>
              </w:rPr>
            </w:pPr>
            <w:r w:rsidRPr="00FD6D1C">
              <w:rPr>
                <w:color w:val="000000"/>
                <w:sz w:val="22"/>
                <w:szCs w:val="22"/>
                <w:lang w:eastAsia="en-GB"/>
              </w:rPr>
              <w:t>83.0%</w:t>
            </w:r>
          </w:p>
        </w:tc>
      </w:tr>
      <w:tr w:rsidRPr="00FD6D1C" w:rsidR="00FD6D1C" w:rsidTr="00FD6D1C" w14:paraId="1256A460" w14:textId="77777777">
        <w:trPr>
          <w:trHeight w:val="300"/>
        </w:trPr>
        <w:tc>
          <w:tcPr>
            <w:tcW w:w="1321" w:type="dxa"/>
            <w:tcBorders>
              <w:top w:val="nil"/>
              <w:left w:val="single" w:color="auto" w:sz="4" w:space="0"/>
              <w:bottom w:val="single" w:color="auto" w:sz="4" w:space="0"/>
              <w:right w:val="single" w:color="auto" w:sz="4" w:space="0"/>
            </w:tcBorders>
            <w:shd w:val="clear" w:color="auto" w:fill="auto"/>
            <w:noWrap/>
            <w:vAlign w:val="center"/>
            <w:hideMark/>
          </w:tcPr>
          <w:p w:rsidRPr="00FD6D1C" w:rsidR="00FD6D1C" w:rsidP="00FD6D1C" w:rsidRDefault="00FD6D1C" w14:paraId="79E68E1D" w14:textId="77777777">
            <w:pPr>
              <w:jc w:val="center"/>
              <w:rPr>
                <w:color w:val="000000"/>
                <w:sz w:val="22"/>
                <w:szCs w:val="22"/>
                <w:lang w:eastAsia="en-GB"/>
              </w:rPr>
            </w:pPr>
            <w:r w:rsidRPr="00FD6D1C">
              <w:rPr>
                <w:color w:val="000000"/>
                <w:sz w:val="22"/>
                <w:szCs w:val="22"/>
                <w:lang w:eastAsia="en-GB"/>
              </w:rPr>
              <w:t>Sep-18</w:t>
            </w:r>
          </w:p>
        </w:tc>
        <w:tc>
          <w:tcPr>
            <w:tcW w:w="132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CE6E3E0" w14:textId="77777777">
            <w:pPr>
              <w:jc w:val="center"/>
              <w:rPr>
                <w:color w:val="000000"/>
                <w:sz w:val="22"/>
                <w:szCs w:val="22"/>
                <w:lang w:eastAsia="en-GB"/>
              </w:rPr>
            </w:pPr>
            <w:r w:rsidRPr="00FD6D1C">
              <w:rPr>
                <w:color w:val="000000"/>
                <w:sz w:val="22"/>
                <w:szCs w:val="22"/>
                <w:lang w:eastAsia="en-GB"/>
              </w:rPr>
              <w:t>2,749</w:t>
            </w:r>
          </w:p>
        </w:tc>
        <w:tc>
          <w:tcPr>
            <w:tcW w:w="1243"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60C0CD3C" w14:textId="77777777">
            <w:pPr>
              <w:jc w:val="center"/>
              <w:rPr>
                <w:color w:val="000000"/>
                <w:sz w:val="22"/>
                <w:szCs w:val="22"/>
                <w:lang w:eastAsia="en-GB"/>
              </w:rPr>
            </w:pPr>
            <w:r w:rsidRPr="00FD6D1C">
              <w:rPr>
                <w:color w:val="000000"/>
                <w:sz w:val="22"/>
                <w:szCs w:val="22"/>
                <w:lang w:eastAsia="en-GB"/>
              </w:rPr>
              <w:t>139</w:t>
            </w:r>
          </w:p>
        </w:tc>
        <w:tc>
          <w:tcPr>
            <w:tcW w:w="1036"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5F8E4DDD" w14:textId="77777777">
            <w:pPr>
              <w:jc w:val="center"/>
              <w:rPr>
                <w:color w:val="000000"/>
                <w:sz w:val="22"/>
                <w:szCs w:val="22"/>
                <w:lang w:eastAsia="en-GB"/>
              </w:rPr>
            </w:pPr>
            <w:r w:rsidRPr="00FD6D1C">
              <w:rPr>
                <w:color w:val="000000"/>
                <w:sz w:val="22"/>
                <w:szCs w:val="22"/>
                <w:lang w:eastAsia="en-GB"/>
              </w:rPr>
              <w:t>2,888</w:t>
            </w:r>
          </w:p>
        </w:tc>
        <w:tc>
          <w:tcPr>
            <w:tcW w:w="110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714DF3AB" w14:textId="77777777">
            <w:pPr>
              <w:jc w:val="center"/>
              <w:rPr>
                <w:color w:val="000000"/>
                <w:sz w:val="22"/>
                <w:szCs w:val="22"/>
                <w:lang w:eastAsia="en-GB"/>
              </w:rPr>
            </w:pPr>
            <w:r w:rsidRPr="00FD6D1C">
              <w:rPr>
                <w:color w:val="000000"/>
                <w:sz w:val="22"/>
                <w:szCs w:val="22"/>
                <w:lang w:eastAsia="en-GB"/>
              </w:rPr>
              <w:t>60</w:t>
            </w:r>
          </w:p>
        </w:tc>
        <w:tc>
          <w:tcPr>
            <w:tcW w:w="127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5689E5E6" w14:textId="77777777">
            <w:pPr>
              <w:jc w:val="center"/>
              <w:rPr>
                <w:color w:val="000000"/>
                <w:sz w:val="22"/>
                <w:szCs w:val="22"/>
                <w:lang w:eastAsia="en-GB"/>
              </w:rPr>
            </w:pPr>
            <w:r w:rsidRPr="00FD6D1C">
              <w:rPr>
                <w:rFonts w:eastAsia="Calibri"/>
                <w:color w:val="000000"/>
                <w:sz w:val="22"/>
                <w:szCs w:val="22"/>
                <w:lang w:eastAsia="en-GB"/>
              </w:rPr>
              <w:t>2.12%</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03458F49" w14:textId="77777777">
            <w:pPr>
              <w:jc w:val="center"/>
              <w:rPr>
                <w:color w:val="000000"/>
                <w:sz w:val="22"/>
                <w:szCs w:val="22"/>
                <w:lang w:eastAsia="en-GB"/>
              </w:rPr>
            </w:pPr>
            <w:r w:rsidRPr="00FD6D1C">
              <w:rPr>
                <w:rFonts w:eastAsia="Calibri"/>
                <w:color w:val="000000"/>
                <w:sz w:val="22"/>
                <w:szCs w:val="22"/>
                <w:lang w:eastAsia="en-GB"/>
              </w:rPr>
              <w:t>2,534</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E96981F" w14:textId="77777777">
            <w:pPr>
              <w:jc w:val="center"/>
              <w:rPr>
                <w:color w:val="000000"/>
                <w:sz w:val="22"/>
                <w:szCs w:val="22"/>
                <w:lang w:eastAsia="en-GB"/>
              </w:rPr>
            </w:pPr>
            <w:r w:rsidRPr="00FD6D1C">
              <w:rPr>
                <w:rFonts w:eastAsia="Calibri"/>
                <w:color w:val="000000"/>
                <w:sz w:val="22"/>
                <w:szCs w:val="22"/>
                <w:lang w:eastAsia="en-GB"/>
              </w:rPr>
              <w:t>87.7%</w:t>
            </w:r>
          </w:p>
        </w:tc>
      </w:tr>
      <w:tr w:rsidRPr="00FD6D1C" w:rsidR="00FD6D1C" w:rsidTr="00FD6D1C" w14:paraId="4D8D1174" w14:textId="77777777">
        <w:trPr>
          <w:trHeight w:val="300"/>
        </w:trPr>
        <w:tc>
          <w:tcPr>
            <w:tcW w:w="1321" w:type="dxa"/>
            <w:tcBorders>
              <w:top w:val="nil"/>
              <w:left w:val="single" w:color="auto" w:sz="4" w:space="0"/>
              <w:bottom w:val="single" w:color="auto" w:sz="4" w:space="0"/>
              <w:right w:val="single" w:color="auto" w:sz="4" w:space="0"/>
            </w:tcBorders>
            <w:shd w:val="clear" w:color="auto" w:fill="auto"/>
            <w:noWrap/>
            <w:vAlign w:val="center"/>
            <w:hideMark/>
          </w:tcPr>
          <w:p w:rsidRPr="00FD6D1C" w:rsidR="00FD6D1C" w:rsidP="00FD6D1C" w:rsidRDefault="00FD6D1C" w14:paraId="20ECA974" w14:textId="77777777">
            <w:pPr>
              <w:jc w:val="center"/>
              <w:rPr>
                <w:color w:val="000000"/>
                <w:sz w:val="22"/>
                <w:szCs w:val="22"/>
                <w:lang w:eastAsia="en-GB"/>
              </w:rPr>
            </w:pPr>
            <w:r w:rsidRPr="00FD6D1C">
              <w:rPr>
                <w:color w:val="000000"/>
                <w:sz w:val="22"/>
                <w:szCs w:val="22"/>
                <w:lang w:eastAsia="en-GB"/>
              </w:rPr>
              <w:t>Sep-19</w:t>
            </w:r>
          </w:p>
        </w:tc>
        <w:tc>
          <w:tcPr>
            <w:tcW w:w="132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322D91EC" w14:textId="77777777">
            <w:pPr>
              <w:jc w:val="center"/>
              <w:rPr>
                <w:color w:val="000000"/>
                <w:sz w:val="22"/>
                <w:szCs w:val="22"/>
                <w:lang w:eastAsia="en-GB"/>
              </w:rPr>
            </w:pPr>
            <w:r w:rsidRPr="00FD6D1C">
              <w:rPr>
                <w:color w:val="000000"/>
                <w:sz w:val="22"/>
                <w:szCs w:val="22"/>
                <w:lang w:eastAsia="en-GB"/>
              </w:rPr>
              <w:t>2,914</w:t>
            </w:r>
          </w:p>
        </w:tc>
        <w:tc>
          <w:tcPr>
            <w:tcW w:w="1243"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943C8DA" w14:textId="77777777">
            <w:pPr>
              <w:jc w:val="center"/>
              <w:rPr>
                <w:color w:val="000000"/>
                <w:sz w:val="22"/>
                <w:szCs w:val="22"/>
                <w:lang w:eastAsia="en-GB"/>
              </w:rPr>
            </w:pPr>
            <w:r w:rsidRPr="00FD6D1C">
              <w:rPr>
                <w:color w:val="000000"/>
                <w:sz w:val="22"/>
                <w:szCs w:val="22"/>
                <w:lang w:eastAsia="en-GB"/>
              </w:rPr>
              <w:t>104</w:t>
            </w:r>
          </w:p>
        </w:tc>
        <w:tc>
          <w:tcPr>
            <w:tcW w:w="1036"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587D1CEC" w14:textId="77777777">
            <w:pPr>
              <w:jc w:val="center"/>
              <w:rPr>
                <w:color w:val="000000"/>
                <w:sz w:val="22"/>
                <w:szCs w:val="22"/>
                <w:lang w:eastAsia="en-GB"/>
              </w:rPr>
            </w:pPr>
            <w:r w:rsidRPr="00FD6D1C">
              <w:rPr>
                <w:color w:val="000000"/>
                <w:sz w:val="22"/>
                <w:szCs w:val="22"/>
                <w:lang w:eastAsia="en-GB"/>
              </w:rPr>
              <w:t>3,018</w:t>
            </w:r>
          </w:p>
        </w:tc>
        <w:tc>
          <w:tcPr>
            <w:tcW w:w="110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52CB7FBF" w14:textId="77777777">
            <w:pPr>
              <w:jc w:val="center"/>
              <w:rPr>
                <w:color w:val="000000"/>
                <w:sz w:val="22"/>
                <w:szCs w:val="22"/>
                <w:lang w:eastAsia="en-GB"/>
              </w:rPr>
            </w:pPr>
            <w:r w:rsidRPr="00FD6D1C">
              <w:rPr>
                <w:color w:val="000000"/>
                <w:sz w:val="22"/>
                <w:szCs w:val="22"/>
                <w:lang w:eastAsia="en-GB"/>
              </w:rPr>
              <w:t>130</w:t>
            </w:r>
          </w:p>
        </w:tc>
        <w:tc>
          <w:tcPr>
            <w:tcW w:w="127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63F09F72" w14:textId="77777777">
            <w:pPr>
              <w:jc w:val="center"/>
              <w:rPr>
                <w:color w:val="000000"/>
                <w:sz w:val="22"/>
                <w:szCs w:val="22"/>
                <w:lang w:eastAsia="en-GB"/>
              </w:rPr>
            </w:pPr>
            <w:r w:rsidRPr="00FD6D1C">
              <w:rPr>
                <w:rFonts w:eastAsia="Calibri"/>
                <w:color w:val="000000"/>
                <w:sz w:val="22"/>
                <w:szCs w:val="22"/>
                <w:lang w:eastAsia="en-GB"/>
              </w:rPr>
              <w:t>4.50%</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2121C92F" w14:textId="77777777">
            <w:pPr>
              <w:jc w:val="center"/>
              <w:rPr>
                <w:color w:val="000000"/>
                <w:sz w:val="22"/>
                <w:szCs w:val="22"/>
                <w:lang w:eastAsia="en-GB"/>
              </w:rPr>
            </w:pPr>
            <w:r w:rsidRPr="00FD6D1C">
              <w:rPr>
                <w:color w:val="000000"/>
                <w:sz w:val="22"/>
                <w:szCs w:val="22"/>
                <w:lang w:eastAsia="en-GB"/>
              </w:rPr>
              <w:t>2,670</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282FD1B7" w14:textId="77777777">
            <w:pPr>
              <w:jc w:val="center"/>
              <w:rPr>
                <w:color w:val="000000"/>
                <w:sz w:val="22"/>
                <w:szCs w:val="22"/>
                <w:lang w:eastAsia="en-GB"/>
              </w:rPr>
            </w:pPr>
            <w:r w:rsidRPr="00FD6D1C">
              <w:rPr>
                <w:color w:val="000000"/>
                <w:sz w:val="22"/>
                <w:szCs w:val="22"/>
                <w:lang w:eastAsia="en-GB"/>
              </w:rPr>
              <w:t>88.5%</w:t>
            </w:r>
          </w:p>
        </w:tc>
      </w:tr>
      <w:tr w:rsidRPr="00FD6D1C" w:rsidR="00FD6D1C" w:rsidTr="00FD6D1C" w14:paraId="0D1AE434" w14:textId="77777777">
        <w:trPr>
          <w:trHeight w:val="300"/>
        </w:trPr>
        <w:tc>
          <w:tcPr>
            <w:tcW w:w="1321" w:type="dxa"/>
            <w:tcBorders>
              <w:top w:val="nil"/>
              <w:left w:val="single" w:color="auto" w:sz="4" w:space="0"/>
              <w:bottom w:val="single" w:color="auto" w:sz="4" w:space="0"/>
              <w:right w:val="single" w:color="auto" w:sz="4" w:space="0"/>
            </w:tcBorders>
            <w:shd w:val="clear" w:color="auto" w:fill="auto"/>
            <w:noWrap/>
            <w:vAlign w:val="center"/>
            <w:hideMark/>
          </w:tcPr>
          <w:p w:rsidRPr="00FD6D1C" w:rsidR="00FD6D1C" w:rsidP="00FD6D1C" w:rsidRDefault="00FD6D1C" w14:paraId="37E35CEB" w14:textId="77777777">
            <w:pPr>
              <w:jc w:val="center"/>
              <w:rPr>
                <w:color w:val="000000"/>
                <w:sz w:val="22"/>
                <w:szCs w:val="22"/>
                <w:lang w:eastAsia="en-GB"/>
              </w:rPr>
            </w:pPr>
            <w:r w:rsidRPr="00FD6D1C">
              <w:rPr>
                <w:color w:val="000000"/>
                <w:sz w:val="22"/>
                <w:szCs w:val="22"/>
                <w:lang w:eastAsia="en-GB"/>
              </w:rPr>
              <w:t>Sep-20</w:t>
            </w:r>
          </w:p>
        </w:tc>
        <w:tc>
          <w:tcPr>
            <w:tcW w:w="132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28706BAE" w14:textId="77777777">
            <w:pPr>
              <w:jc w:val="center"/>
              <w:rPr>
                <w:color w:val="000000"/>
                <w:sz w:val="22"/>
                <w:szCs w:val="22"/>
                <w:lang w:eastAsia="en-GB"/>
              </w:rPr>
            </w:pPr>
            <w:r w:rsidRPr="00FD6D1C">
              <w:rPr>
                <w:color w:val="000000"/>
                <w:sz w:val="22"/>
                <w:szCs w:val="22"/>
                <w:lang w:eastAsia="en-GB"/>
              </w:rPr>
              <w:t>2,986</w:t>
            </w:r>
          </w:p>
        </w:tc>
        <w:tc>
          <w:tcPr>
            <w:tcW w:w="1243"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7BDFB08C" w14:textId="77777777">
            <w:pPr>
              <w:jc w:val="center"/>
              <w:rPr>
                <w:color w:val="000000"/>
                <w:sz w:val="22"/>
                <w:szCs w:val="22"/>
                <w:lang w:eastAsia="en-GB"/>
              </w:rPr>
            </w:pPr>
            <w:r w:rsidRPr="00FD6D1C">
              <w:rPr>
                <w:color w:val="000000"/>
                <w:sz w:val="22"/>
                <w:szCs w:val="22"/>
                <w:lang w:eastAsia="en-GB"/>
              </w:rPr>
              <w:t>83</w:t>
            </w:r>
          </w:p>
        </w:tc>
        <w:tc>
          <w:tcPr>
            <w:tcW w:w="1036"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4F84EFDB" w14:textId="77777777">
            <w:pPr>
              <w:jc w:val="center"/>
              <w:rPr>
                <w:color w:val="000000"/>
                <w:sz w:val="22"/>
                <w:szCs w:val="22"/>
                <w:lang w:eastAsia="en-GB"/>
              </w:rPr>
            </w:pPr>
            <w:r w:rsidRPr="00FD6D1C">
              <w:rPr>
                <w:color w:val="000000"/>
                <w:sz w:val="22"/>
                <w:szCs w:val="22"/>
                <w:lang w:eastAsia="en-GB"/>
              </w:rPr>
              <w:t>3,069</w:t>
            </w:r>
          </w:p>
        </w:tc>
        <w:tc>
          <w:tcPr>
            <w:tcW w:w="110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39F28E48" w14:textId="77777777">
            <w:pPr>
              <w:jc w:val="center"/>
              <w:rPr>
                <w:sz w:val="22"/>
                <w:szCs w:val="22"/>
                <w:lang w:eastAsia="en-GB"/>
              </w:rPr>
            </w:pPr>
            <w:r w:rsidRPr="00FD6D1C">
              <w:rPr>
                <w:sz w:val="22"/>
                <w:szCs w:val="22"/>
                <w:lang w:eastAsia="en-GB"/>
              </w:rPr>
              <w:t>51</w:t>
            </w:r>
          </w:p>
        </w:tc>
        <w:tc>
          <w:tcPr>
            <w:tcW w:w="127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29494550" w14:textId="77777777">
            <w:pPr>
              <w:jc w:val="center"/>
              <w:rPr>
                <w:sz w:val="22"/>
                <w:szCs w:val="22"/>
                <w:lang w:eastAsia="en-GB"/>
              </w:rPr>
            </w:pPr>
            <w:r w:rsidRPr="00FD6D1C">
              <w:rPr>
                <w:sz w:val="22"/>
                <w:szCs w:val="22"/>
                <w:lang w:eastAsia="en-GB"/>
              </w:rPr>
              <w:t>1.69%</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7AF4C9C7" w14:textId="77777777">
            <w:pPr>
              <w:jc w:val="center"/>
              <w:rPr>
                <w:color w:val="000000"/>
                <w:sz w:val="22"/>
                <w:szCs w:val="22"/>
                <w:lang w:eastAsia="en-GB"/>
              </w:rPr>
            </w:pPr>
            <w:r w:rsidRPr="00FD6D1C">
              <w:rPr>
                <w:rFonts w:eastAsia="Calibri"/>
                <w:color w:val="000000"/>
                <w:sz w:val="22"/>
                <w:szCs w:val="22"/>
                <w:lang w:eastAsia="en-GB"/>
              </w:rPr>
              <w:t>2,623</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BEDCE95" w14:textId="77777777">
            <w:pPr>
              <w:jc w:val="center"/>
              <w:rPr>
                <w:color w:val="000000"/>
                <w:sz w:val="22"/>
                <w:szCs w:val="22"/>
                <w:lang w:eastAsia="en-GB"/>
              </w:rPr>
            </w:pPr>
            <w:r w:rsidRPr="00FD6D1C">
              <w:rPr>
                <w:rFonts w:eastAsia="Calibri"/>
                <w:color w:val="000000"/>
                <w:sz w:val="22"/>
                <w:szCs w:val="22"/>
                <w:lang w:eastAsia="en-GB"/>
              </w:rPr>
              <w:t>85.5%</w:t>
            </w:r>
          </w:p>
        </w:tc>
      </w:tr>
      <w:tr w:rsidRPr="00FD6D1C" w:rsidR="00FD6D1C" w:rsidTr="00FD6D1C" w14:paraId="1EE07B9A" w14:textId="77777777">
        <w:trPr>
          <w:trHeight w:val="300"/>
        </w:trPr>
        <w:tc>
          <w:tcPr>
            <w:tcW w:w="1321" w:type="dxa"/>
            <w:tcBorders>
              <w:top w:val="nil"/>
              <w:left w:val="single" w:color="auto" w:sz="4" w:space="0"/>
              <w:bottom w:val="single" w:color="auto" w:sz="4" w:space="0"/>
              <w:right w:val="single" w:color="auto" w:sz="4" w:space="0"/>
            </w:tcBorders>
            <w:shd w:val="clear" w:color="auto" w:fill="auto"/>
            <w:noWrap/>
            <w:vAlign w:val="center"/>
            <w:hideMark/>
          </w:tcPr>
          <w:p w:rsidRPr="00FD6D1C" w:rsidR="00FD6D1C" w:rsidP="00FD6D1C" w:rsidRDefault="00FD6D1C" w14:paraId="5BB14999" w14:textId="77777777">
            <w:pPr>
              <w:jc w:val="center"/>
              <w:rPr>
                <w:color w:val="000000"/>
                <w:sz w:val="22"/>
                <w:szCs w:val="22"/>
                <w:lang w:eastAsia="en-GB"/>
              </w:rPr>
            </w:pPr>
            <w:r w:rsidRPr="00FD6D1C">
              <w:rPr>
                <w:color w:val="000000"/>
                <w:sz w:val="22"/>
                <w:szCs w:val="22"/>
                <w:lang w:eastAsia="en-GB"/>
              </w:rPr>
              <w:t>Sep-21</w:t>
            </w:r>
          </w:p>
        </w:tc>
        <w:tc>
          <w:tcPr>
            <w:tcW w:w="132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3B6160F4" w14:textId="77777777">
            <w:pPr>
              <w:jc w:val="center"/>
              <w:rPr>
                <w:color w:val="000000"/>
                <w:sz w:val="22"/>
                <w:szCs w:val="22"/>
                <w:lang w:eastAsia="en-GB"/>
              </w:rPr>
            </w:pPr>
            <w:r w:rsidRPr="00FD6D1C">
              <w:rPr>
                <w:color w:val="000000"/>
                <w:sz w:val="22"/>
                <w:szCs w:val="22"/>
                <w:lang w:eastAsia="en-GB"/>
              </w:rPr>
              <w:t>2,931</w:t>
            </w:r>
          </w:p>
        </w:tc>
        <w:tc>
          <w:tcPr>
            <w:tcW w:w="1243"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21D13979" w14:textId="77777777">
            <w:pPr>
              <w:jc w:val="center"/>
              <w:rPr>
                <w:color w:val="000000"/>
                <w:sz w:val="22"/>
                <w:szCs w:val="22"/>
                <w:lang w:eastAsia="en-GB"/>
              </w:rPr>
            </w:pPr>
            <w:r w:rsidRPr="00FD6D1C">
              <w:rPr>
                <w:color w:val="000000"/>
                <w:sz w:val="22"/>
                <w:szCs w:val="22"/>
                <w:lang w:eastAsia="en-GB"/>
              </w:rPr>
              <w:t>93</w:t>
            </w:r>
          </w:p>
        </w:tc>
        <w:tc>
          <w:tcPr>
            <w:tcW w:w="1036"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72969FB6" w14:textId="77777777">
            <w:pPr>
              <w:jc w:val="center"/>
              <w:rPr>
                <w:color w:val="000000"/>
                <w:sz w:val="22"/>
                <w:szCs w:val="22"/>
                <w:lang w:eastAsia="en-GB"/>
              </w:rPr>
            </w:pPr>
            <w:r w:rsidRPr="00FD6D1C">
              <w:rPr>
                <w:color w:val="000000"/>
                <w:sz w:val="22"/>
                <w:szCs w:val="22"/>
                <w:lang w:eastAsia="en-GB"/>
              </w:rPr>
              <w:t>3,024</w:t>
            </w:r>
            <w:r w:rsidRPr="00FD6D1C">
              <w:rPr>
                <w:b/>
                <w:bCs/>
                <w:color w:val="000000"/>
                <w:sz w:val="22"/>
                <w:szCs w:val="22"/>
                <w:lang w:eastAsia="en-GB"/>
              </w:rPr>
              <w:t>(3)</w:t>
            </w:r>
          </w:p>
        </w:tc>
        <w:tc>
          <w:tcPr>
            <w:tcW w:w="110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1779F145" w14:textId="77777777">
            <w:pPr>
              <w:jc w:val="center"/>
              <w:rPr>
                <w:color w:val="000000"/>
                <w:sz w:val="22"/>
                <w:szCs w:val="22"/>
                <w:lang w:eastAsia="en-GB"/>
              </w:rPr>
            </w:pPr>
            <w:r w:rsidRPr="00FD6D1C">
              <w:rPr>
                <w:color w:val="000000"/>
                <w:sz w:val="22"/>
                <w:szCs w:val="22"/>
                <w:lang w:eastAsia="en-GB"/>
              </w:rPr>
              <w:t>-45</w:t>
            </w:r>
          </w:p>
        </w:tc>
        <w:tc>
          <w:tcPr>
            <w:tcW w:w="1279"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3C29AA20" w14:textId="77777777">
            <w:pPr>
              <w:jc w:val="center"/>
              <w:rPr>
                <w:color w:val="000000"/>
                <w:sz w:val="22"/>
                <w:szCs w:val="22"/>
                <w:lang w:eastAsia="en-GB"/>
              </w:rPr>
            </w:pPr>
            <w:r w:rsidRPr="00FD6D1C">
              <w:rPr>
                <w:rFonts w:eastAsia="Calibri"/>
                <w:color w:val="000000"/>
                <w:sz w:val="22"/>
                <w:szCs w:val="22"/>
                <w:lang w:eastAsia="en-GB"/>
              </w:rPr>
              <w:t>-1.47%</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25706119" w14:textId="77777777">
            <w:pPr>
              <w:jc w:val="center"/>
              <w:rPr>
                <w:i/>
                <w:iCs/>
                <w:color w:val="000000"/>
                <w:sz w:val="22"/>
                <w:szCs w:val="22"/>
                <w:lang w:eastAsia="en-GB"/>
              </w:rPr>
            </w:pPr>
            <w:r w:rsidRPr="00FD6D1C">
              <w:rPr>
                <w:rFonts w:eastAsia="Calibri"/>
                <w:i/>
                <w:iCs/>
                <w:color w:val="000000"/>
                <w:sz w:val="22"/>
                <w:szCs w:val="22"/>
                <w:lang w:eastAsia="en-GB"/>
              </w:rPr>
              <w:t>2,668</w:t>
            </w:r>
          </w:p>
        </w:tc>
        <w:tc>
          <w:tcPr>
            <w:tcW w:w="1060" w:type="dxa"/>
            <w:tcBorders>
              <w:top w:val="nil"/>
              <w:left w:val="nil"/>
              <w:bottom w:val="single" w:color="auto" w:sz="4" w:space="0"/>
              <w:right w:val="single" w:color="auto" w:sz="4" w:space="0"/>
            </w:tcBorders>
            <w:shd w:val="clear" w:color="auto" w:fill="auto"/>
            <w:noWrap/>
            <w:vAlign w:val="center"/>
            <w:hideMark/>
          </w:tcPr>
          <w:p w:rsidRPr="00FD6D1C" w:rsidR="00FD6D1C" w:rsidP="00FD6D1C" w:rsidRDefault="00FD6D1C" w14:paraId="6349BCE5" w14:textId="77777777">
            <w:pPr>
              <w:jc w:val="center"/>
              <w:rPr>
                <w:i/>
                <w:iCs/>
                <w:color w:val="000000"/>
                <w:sz w:val="22"/>
                <w:szCs w:val="22"/>
                <w:lang w:eastAsia="en-GB"/>
              </w:rPr>
            </w:pPr>
            <w:r w:rsidRPr="00FD6D1C">
              <w:rPr>
                <w:rFonts w:eastAsia="Calibri"/>
                <w:i/>
                <w:iCs/>
                <w:color w:val="000000"/>
                <w:sz w:val="22"/>
                <w:szCs w:val="22"/>
                <w:lang w:eastAsia="en-GB"/>
              </w:rPr>
              <w:t>88.2%</w:t>
            </w:r>
          </w:p>
        </w:tc>
      </w:tr>
    </w:tbl>
    <w:p w:rsidRPr="00F26985" w:rsidR="00340B1D" w:rsidP="00340B1D" w:rsidRDefault="001C014F" w14:paraId="5E8FEDA2" w14:textId="640E4FD0">
      <w:pPr>
        <w:rPr>
          <w:rFonts w:eastAsia="Calibri"/>
          <w:sz w:val="20"/>
          <w:szCs w:val="20"/>
        </w:rPr>
      </w:pPr>
      <w:r w:rsidRPr="00F26985">
        <w:rPr>
          <w:sz w:val="20"/>
          <w:szCs w:val="20"/>
        </w:rPr>
        <w:t xml:space="preserve"> </w:t>
      </w:r>
      <w:r w:rsidRPr="00F26985" w:rsidR="00340B1D">
        <w:rPr>
          <w:sz w:val="20"/>
          <w:szCs w:val="20"/>
        </w:rPr>
        <w:t>(1) On-time applications are the data from the DfE returns submitted on offer day.</w:t>
      </w:r>
    </w:p>
    <w:p w:rsidRPr="00F26985" w:rsidR="00340B1D" w:rsidP="00340B1D" w:rsidRDefault="00340B1D" w14:paraId="529C5A95" w14:textId="77777777">
      <w:pPr>
        <w:rPr>
          <w:sz w:val="20"/>
          <w:szCs w:val="20"/>
          <w:lang w:eastAsia="en-GB"/>
        </w:rPr>
      </w:pPr>
      <w:r w:rsidRPr="00F26985">
        <w:rPr>
          <w:sz w:val="20"/>
          <w:szCs w:val="20"/>
        </w:rPr>
        <w:t>(2) Lates are the number of on-time applications subtracted from the total home (Harrow) applications on EMS.  (Note: if the home address of the pupil has changed to an address outside Harrow since the application, this may deflate the total number of late applications)</w:t>
      </w:r>
    </w:p>
    <w:p w:rsidR="00A16979" w:rsidP="00340B1D" w:rsidRDefault="00340B1D" w14:paraId="1080DD82" w14:textId="10426481">
      <w:pPr>
        <w:rPr>
          <w:sz w:val="20"/>
          <w:szCs w:val="20"/>
        </w:rPr>
      </w:pPr>
      <w:r w:rsidRPr="00F26985">
        <w:rPr>
          <w:sz w:val="20"/>
          <w:szCs w:val="20"/>
        </w:rPr>
        <w:t xml:space="preserve">(3) As at </w:t>
      </w:r>
      <w:r w:rsidR="005C2543">
        <w:rPr>
          <w:sz w:val="20"/>
          <w:szCs w:val="20"/>
        </w:rPr>
        <w:t>20</w:t>
      </w:r>
      <w:r w:rsidRPr="00F26985">
        <w:rPr>
          <w:sz w:val="20"/>
          <w:szCs w:val="20"/>
        </w:rPr>
        <w:t xml:space="preserve"> Ju</w:t>
      </w:r>
      <w:r w:rsidRPr="00F26985" w:rsidR="007F1652">
        <w:rPr>
          <w:sz w:val="20"/>
          <w:szCs w:val="20"/>
        </w:rPr>
        <w:t>ly</w:t>
      </w:r>
      <w:r w:rsidRPr="00F26985">
        <w:rPr>
          <w:sz w:val="20"/>
          <w:szCs w:val="20"/>
        </w:rPr>
        <w:t xml:space="preserve"> 20</w:t>
      </w:r>
      <w:r w:rsidRPr="00F26985" w:rsidR="007F1652">
        <w:rPr>
          <w:sz w:val="20"/>
          <w:szCs w:val="20"/>
        </w:rPr>
        <w:t>2</w:t>
      </w:r>
      <w:r w:rsidR="00C91B80">
        <w:rPr>
          <w:sz w:val="20"/>
          <w:szCs w:val="20"/>
        </w:rPr>
        <w:t>1</w:t>
      </w:r>
    </w:p>
    <w:p w:rsidR="00A16979" w:rsidP="00A16979" w:rsidRDefault="00A16979" w14:paraId="3ABE7DEC" w14:textId="77777777">
      <w:pPr>
        <w:rPr>
          <w:sz w:val="20"/>
          <w:szCs w:val="20"/>
        </w:rPr>
      </w:pPr>
    </w:p>
    <w:p w:rsidRPr="00B7014C" w:rsidR="00A16979" w:rsidP="00A16979" w:rsidRDefault="00A16979" w14:paraId="38F19B54" w14:textId="5B1B89BE">
      <w:pPr>
        <w:rPr>
          <w:b/>
        </w:rPr>
      </w:pPr>
      <w:r w:rsidRPr="00B7014C">
        <w:rPr>
          <w:b/>
        </w:rPr>
        <w:t>Harrow primary schools</w:t>
      </w:r>
      <w:r w:rsidR="00591A6D">
        <w:rPr>
          <w:b/>
        </w:rPr>
        <w:t>’</w:t>
      </w:r>
      <w:r w:rsidRPr="00B7014C">
        <w:rPr>
          <w:b/>
        </w:rPr>
        <w:t xml:space="preserve"> pupils’ borough of residence</w:t>
      </w:r>
    </w:p>
    <w:p w:rsidRPr="00B7014C" w:rsidR="00A16979" w:rsidP="00A16979" w:rsidRDefault="00A16979" w14:paraId="748432F1" w14:textId="44F49BAD">
      <w:r w:rsidRPr="00B7014C">
        <w:t>The number of pupils in Reception to Year 6 in Harrow schools</w:t>
      </w:r>
      <w:r w:rsidRPr="00B7014C" w:rsidR="00315E75">
        <w:t xml:space="preserve"> </w:t>
      </w:r>
      <w:r w:rsidRPr="00B7014C" w:rsidR="009D5026">
        <w:t xml:space="preserve">have consistently increased since </w:t>
      </w:r>
      <w:r w:rsidRPr="00B7014C" w:rsidR="00E97F38">
        <w:t xml:space="preserve">2005/06 (16,633) to </w:t>
      </w:r>
      <w:r w:rsidRPr="00B7014C" w:rsidR="009D5026">
        <w:t>2019/20 (21,714)</w:t>
      </w:r>
      <w:r w:rsidRPr="00B7014C">
        <w:t xml:space="preserve">. </w:t>
      </w:r>
      <w:r w:rsidRPr="00B7014C" w:rsidR="004A0C1D">
        <w:t>However the number dropped for th</w:t>
      </w:r>
      <w:r w:rsidRPr="00B7014C" w:rsidR="005F2EDE">
        <w:t>e</w:t>
      </w:r>
      <w:r w:rsidRPr="00B7014C" w:rsidR="004A0C1D">
        <w:t xml:space="preserve"> first time </w:t>
      </w:r>
      <w:proofErr w:type="gramStart"/>
      <w:r w:rsidRPr="00B7014C" w:rsidR="004A0C1D">
        <w:t xml:space="preserve">in </w:t>
      </w:r>
      <w:r w:rsidRPr="00B7014C">
        <w:t xml:space="preserve"> January</w:t>
      </w:r>
      <w:proofErr w:type="gramEnd"/>
      <w:r w:rsidRPr="00B7014C">
        <w:t xml:space="preserve"> 20</w:t>
      </w:r>
      <w:r w:rsidRPr="00B7014C" w:rsidR="00005F21">
        <w:t>2</w:t>
      </w:r>
      <w:r w:rsidRPr="00B7014C" w:rsidR="00C05F23">
        <w:t>1</w:t>
      </w:r>
      <w:r w:rsidRPr="00B7014C" w:rsidR="005F2EDE">
        <w:t xml:space="preserve"> - </w:t>
      </w:r>
      <w:r w:rsidRPr="00B7014C">
        <w:t xml:space="preserve">there were </w:t>
      </w:r>
      <w:r w:rsidRPr="00B7014C" w:rsidR="00005F21">
        <w:t>21,4</w:t>
      </w:r>
      <w:r w:rsidRPr="00B7014C" w:rsidR="001351DF">
        <w:t>80</w:t>
      </w:r>
      <w:r w:rsidRPr="00B7014C" w:rsidR="00005F21">
        <w:t xml:space="preserve"> </w:t>
      </w:r>
      <w:r w:rsidRPr="00B7014C">
        <w:t xml:space="preserve">pupils in Harrow’s 39 primary and 1 all through school, </w:t>
      </w:r>
      <w:r w:rsidRPr="00B7014C" w:rsidR="00907891">
        <w:t xml:space="preserve">a drop of 234 </w:t>
      </w:r>
      <w:r w:rsidRPr="00B7014C">
        <w:t>pupils. (Source: Harrow schools’ school census).</w:t>
      </w:r>
    </w:p>
    <w:p w:rsidRPr="00B7014C" w:rsidR="00A16979" w:rsidP="00A16979" w:rsidRDefault="00A16979" w14:paraId="0EA34848" w14:textId="77777777"/>
    <w:p w:rsidRPr="00B7014C" w:rsidR="00A16979" w:rsidP="00A16979" w:rsidRDefault="00A16979" w14:paraId="2918A808" w14:textId="567E9B05">
      <w:r w:rsidRPr="00B7014C">
        <w:t>The number of out of borough primary age pupils attending Harrow’s schools also increased, from 2,031 in January 2016, to 2,125 in January 2017</w:t>
      </w:r>
      <w:r w:rsidRPr="00B7014C" w:rsidR="00911A12">
        <w:t xml:space="preserve"> to</w:t>
      </w:r>
      <w:r w:rsidRPr="00B7014C">
        <w:t xml:space="preserve"> 2,200 in January 2018</w:t>
      </w:r>
      <w:r w:rsidRPr="00B7014C" w:rsidR="00911A12">
        <w:t xml:space="preserve"> and 2,301 in January 2019</w:t>
      </w:r>
      <w:r w:rsidRPr="00B7014C" w:rsidR="008F67F5">
        <w:t xml:space="preserve">, however they </w:t>
      </w:r>
      <w:r w:rsidRPr="00B7014C" w:rsidR="00005F21">
        <w:t>dropped to 2,299 in 2020</w:t>
      </w:r>
      <w:r w:rsidRPr="00B7014C" w:rsidR="008F67F5">
        <w:t xml:space="preserve"> and 2,261</w:t>
      </w:r>
      <w:r w:rsidRPr="00B7014C" w:rsidR="001C5794">
        <w:t xml:space="preserve"> in 2021</w:t>
      </w:r>
      <w:r w:rsidRPr="00B7014C" w:rsidR="00005F21">
        <w:t>.</w:t>
      </w:r>
      <w:r w:rsidRPr="00B7014C">
        <w:rPr>
          <w:color w:val="FF0000"/>
        </w:rPr>
        <w:t xml:space="preserve"> </w:t>
      </w:r>
    </w:p>
    <w:p w:rsidRPr="00B7014C" w:rsidR="00A16979" w:rsidP="00A16979" w:rsidRDefault="00A16979" w14:paraId="31F30563" w14:textId="77777777"/>
    <w:p w:rsidRPr="00B7014C" w:rsidR="00A16979" w:rsidP="00A16979" w:rsidRDefault="00A16979" w14:paraId="53226F92" w14:textId="3D29FF63">
      <w:pPr>
        <w:pStyle w:val="Heading6"/>
        <w:autoSpaceDE/>
        <w:autoSpaceDN/>
        <w:adjustRightInd/>
        <w:rPr>
          <w:b w:val="0"/>
        </w:rPr>
      </w:pPr>
      <w:r w:rsidRPr="00B7014C">
        <w:rPr>
          <w:b w:val="0"/>
        </w:rPr>
        <w:t xml:space="preserve">Table </w:t>
      </w:r>
      <w:r w:rsidRPr="00B7014C" w:rsidR="00FC14D1">
        <w:rPr>
          <w:b w:val="0"/>
        </w:rPr>
        <w:t>3</w:t>
      </w:r>
      <w:r w:rsidRPr="00B7014C">
        <w:rPr>
          <w:b w:val="0"/>
        </w:rPr>
        <w:t xml:space="preserve"> below shows that as at </w:t>
      </w:r>
      <w:r w:rsidRPr="00B7014C">
        <w:t>January 20</w:t>
      </w:r>
      <w:r w:rsidRPr="00B7014C" w:rsidR="00020228">
        <w:t>2</w:t>
      </w:r>
      <w:r w:rsidRPr="00B7014C" w:rsidR="00753BE8">
        <w:t>1</w:t>
      </w:r>
      <w:r w:rsidRPr="00B7014C">
        <w:rPr>
          <w:b w:val="0"/>
        </w:rPr>
        <w:t xml:space="preserve"> the majority of Harrow’s primary school pupils reside within the borough of Harrow.  </w:t>
      </w:r>
    </w:p>
    <w:p w:rsidRPr="00B7014C" w:rsidR="00A16979" w:rsidP="00A16979" w:rsidRDefault="00A16979" w14:paraId="6B1F0E40" w14:textId="77777777"/>
    <w:p w:rsidRPr="00B7014C" w:rsidR="00A16979" w:rsidP="00A16979" w:rsidRDefault="00A16979" w14:paraId="2172A1C4" w14:textId="0091666B">
      <w:r w:rsidRPr="00B7014C">
        <w:br w:type="page"/>
      </w:r>
      <w:r w:rsidRPr="00B7014C">
        <w:lastRenderedPageBreak/>
        <w:t xml:space="preserve">Table </w:t>
      </w:r>
      <w:r w:rsidRPr="00B7014C" w:rsidR="00FC14D1">
        <w:t>3</w:t>
      </w:r>
      <w:r w:rsidRPr="00B7014C">
        <w:t>: Harrow schools’ Reception to Year 6 pupils Harrow ward of residence</w:t>
      </w:r>
    </w:p>
    <w:p w:rsidRPr="00B7014C" w:rsidR="00A16979" w:rsidP="00A16979" w:rsidRDefault="00A16979" w14:paraId="45B4A110" w14:textId="2D09A868">
      <w:r w:rsidRPr="00B7014C">
        <w:t>January 20</w:t>
      </w:r>
      <w:r w:rsidRPr="00B7014C" w:rsidR="004F2BB7">
        <w:t>2</w:t>
      </w:r>
      <w:r w:rsidRPr="00B7014C" w:rsidR="00581F24">
        <w:t>1</w:t>
      </w:r>
      <w:r w:rsidRPr="00B7014C">
        <w:t xml:space="preserve"> &amp; (January 20</w:t>
      </w:r>
      <w:r w:rsidRPr="00B7014C" w:rsidR="00581F24">
        <w:t>20</w:t>
      </w:r>
      <w:r w:rsidRPr="00B7014C">
        <w:t>)</w:t>
      </w:r>
    </w:p>
    <w:tbl>
      <w:tblPr>
        <w:tblW w:w="0" w:type="auto"/>
        <w:tblInd w:w="93" w:type="dxa"/>
        <w:tblLook w:val="04A0" w:firstRow="1" w:lastRow="0" w:firstColumn="1" w:lastColumn="0" w:noHBand="0" w:noVBand="1"/>
      </w:tblPr>
      <w:tblGrid>
        <w:gridCol w:w="2197"/>
        <w:gridCol w:w="2025"/>
        <w:gridCol w:w="2380"/>
      </w:tblGrid>
      <w:tr w:rsidRPr="00B7014C" w:rsidR="00005F21" w:rsidTr="00777CAA" w14:paraId="533C62ED" w14:textId="77777777">
        <w:trPr>
          <w:trHeight w:val="284" w:hRule="exact"/>
        </w:trPr>
        <w:tc>
          <w:tcPr>
            <w:tcW w:w="0" w:type="auto"/>
            <w:tcBorders>
              <w:top w:val="single" w:color="auto" w:sz="8" w:space="0"/>
              <w:left w:val="single" w:color="auto" w:sz="8" w:space="0"/>
              <w:bottom w:val="double" w:color="auto" w:sz="6" w:space="0"/>
              <w:right w:val="single" w:color="auto" w:sz="8" w:space="0"/>
            </w:tcBorders>
            <w:shd w:val="clear" w:color="auto" w:fill="auto"/>
            <w:noWrap/>
            <w:vAlign w:val="center"/>
            <w:hideMark/>
          </w:tcPr>
          <w:p w:rsidRPr="00B7014C" w:rsidR="00005F21" w:rsidP="00777CAA" w:rsidRDefault="00005F21" w14:paraId="4A072B24" w14:textId="3FB12217">
            <w:pPr>
              <w:rPr>
                <w:b/>
                <w:bCs/>
                <w:color w:val="000000"/>
                <w:sz w:val="22"/>
                <w:szCs w:val="22"/>
                <w:lang w:eastAsia="en-GB"/>
              </w:rPr>
            </w:pPr>
            <w:r w:rsidRPr="00B7014C">
              <w:rPr>
                <w:b/>
                <w:bCs/>
                <w:color w:val="000000"/>
                <w:sz w:val="22"/>
                <w:szCs w:val="22"/>
              </w:rPr>
              <w:t>Ward</w:t>
            </w:r>
          </w:p>
        </w:tc>
        <w:tc>
          <w:tcPr>
            <w:tcW w:w="0" w:type="auto"/>
            <w:tcBorders>
              <w:top w:val="single" w:color="auto" w:sz="8" w:space="0"/>
              <w:left w:val="nil"/>
              <w:bottom w:val="double" w:color="auto" w:sz="6" w:space="0"/>
              <w:right w:val="single" w:color="auto" w:sz="8" w:space="0"/>
            </w:tcBorders>
            <w:shd w:val="clear" w:color="auto" w:fill="auto"/>
            <w:noWrap/>
            <w:vAlign w:val="center"/>
            <w:hideMark/>
          </w:tcPr>
          <w:p w:rsidRPr="00B7014C" w:rsidR="00005F21" w:rsidP="00777CAA" w:rsidRDefault="00005F21" w14:paraId="100EF00E" w14:textId="00D1C536">
            <w:pPr>
              <w:jc w:val="center"/>
              <w:rPr>
                <w:b/>
                <w:bCs/>
                <w:color w:val="000000"/>
                <w:sz w:val="22"/>
                <w:szCs w:val="22"/>
                <w:lang w:eastAsia="en-GB"/>
              </w:rPr>
            </w:pPr>
            <w:r w:rsidRPr="00B7014C">
              <w:rPr>
                <w:b/>
                <w:bCs/>
                <w:color w:val="000000"/>
                <w:sz w:val="22"/>
                <w:szCs w:val="22"/>
              </w:rPr>
              <w:t>Number of pupils</w:t>
            </w:r>
          </w:p>
        </w:tc>
        <w:tc>
          <w:tcPr>
            <w:tcW w:w="0" w:type="auto"/>
            <w:tcBorders>
              <w:top w:val="single" w:color="auto" w:sz="8" w:space="0"/>
              <w:left w:val="nil"/>
              <w:bottom w:val="double" w:color="auto" w:sz="6" w:space="0"/>
              <w:right w:val="single" w:color="auto" w:sz="8" w:space="0"/>
            </w:tcBorders>
            <w:shd w:val="clear" w:color="auto" w:fill="auto"/>
            <w:noWrap/>
            <w:vAlign w:val="center"/>
            <w:hideMark/>
          </w:tcPr>
          <w:p w:rsidRPr="00B7014C" w:rsidR="00005F21" w:rsidP="00777CAA" w:rsidRDefault="00005F21" w14:paraId="281BF2BF" w14:textId="0688AF06">
            <w:pPr>
              <w:jc w:val="center"/>
              <w:rPr>
                <w:b/>
                <w:bCs/>
                <w:color w:val="000000"/>
                <w:sz w:val="22"/>
                <w:szCs w:val="22"/>
                <w:lang w:eastAsia="en-GB"/>
              </w:rPr>
            </w:pPr>
            <w:r w:rsidRPr="00B7014C">
              <w:rPr>
                <w:b/>
                <w:bCs/>
                <w:color w:val="000000"/>
                <w:sz w:val="22"/>
                <w:szCs w:val="22"/>
              </w:rPr>
              <w:t>Percentage of pupils</w:t>
            </w:r>
          </w:p>
        </w:tc>
      </w:tr>
      <w:tr w:rsidRPr="00B7014C" w:rsidR="00005F21" w:rsidTr="00777CAA" w14:paraId="3A4A4993"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005F21" w:rsidP="00777CAA" w:rsidRDefault="00005F21" w14:paraId="4EABFA42" w14:textId="1043DFC7">
            <w:pPr>
              <w:rPr>
                <w:color w:val="000000"/>
                <w:sz w:val="22"/>
                <w:szCs w:val="22"/>
                <w:lang w:eastAsia="en-GB"/>
              </w:rPr>
            </w:pPr>
            <w:r w:rsidRPr="00B7014C">
              <w:rPr>
                <w:color w:val="000000"/>
                <w:sz w:val="22"/>
                <w:szCs w:val="22"/>
              </w:rPr>
              <w:t>Roxbourne</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005F21" w:rsidP="00777CAA" w:rsidRDefault="00526B4E" w14:paraId="36AC9FDA" w14:textId="0FC06BC3">
            <w:pPr>
              <w:jc w:val="center"/>
              <w:rPr>
                <w:color w:val="000000"/>
                <w:sz w:val="22"/>
                <w:szCs w:val="22"/>
                <w:lang w:eastAsia="en-GB"/>
              </w:rPr>
            </w:pPr>
            <w:r w:rsidRPr="00B7014C">
              <w:rPr>
                <w:color w:val="000000"/>
                <w:sz w:val="22"/>
                <w:szCs w:val="22"/>
              </w:rPr>
              <w:t>1242</w:t>
            </w:r>
            <w:r w:rsidRPr="00B7014C" w:rsidR="00581F24">
              <w:rPr>
                <w:color w:val="000000"/>
                <w:sz w:val="22"/>
                <w:szCs w:val="22"/>
              </w:rPr>
              <w:t xml:space="preserve"> (</w:t>
            </w:r>
            <w:r w:rsidRPr="00B7014C" w:rsidR="00005F21">
              <w:rPr>
                <w:color w:val="000000"/>
                <w:sz w:val="22"/>
                <w:szCs w:val="22"/>
              </w:rPr>
              <w:t>1275</w:t>
            </w:r>
            <w:r w:rsidRPr="00B7014C" w:rsidR="00581F24">
              <w:rPr>
                <w:color w:val="000000"/>
                <w:sz w:val="22"/>
                <w:szCs w:val="22"/>
              </w:rPr>
              <w:t>)</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005F21" w:rsidP="00777CAA" w:rsidRDefault="00F31F76" w14:paraId="177D3AED" w14:textId="71D1FFCF">
            <w:pPr>
              <w:jc w:val="center"/>
              <w:rPr>
                <w:color w:val="000000"/>
                <w:sz w:val="22"/>
                <w:szCs w:val="22"/>
                <w:lang w:eastAsia="en-GB"/>
              </w:rPr>
            </w:pPr>
            <w:r w:rsidRPr="00B7014C">
              <w:rPr>
                <w:color w:val="000000"/>
                <w:sz w:val="22"/>
                <w:szCs w:val="22"/>
              </w:rPr>
              <w:t xml:space="preserve">5.8% </w:t>
            </w:r>
            <w:r w:rsidRPr="00B7014C" w:rsidR="00E74ACF">
              <w:rPr>
                <w:color w:val="000000"/>
                <w:sz w:val="22"/>
                <w:szCs w:val="22"/>
              </w:rPr>
              <w:t>(</w:t>
            </w:r>
            <w:r w:rsidRPr="00B7014C" w:rsidR="00005F21">
              <w:rPr>
                <w:color w:val="000000"/>
                <w:sz w:val="22"/>
                <w:szCs w:val="22"/>
              </w:rPr>
              <w:t>5.9%)</w:t>
            </w:r>
          </w:p>
        </w:tc>
      </w:tr>
      <w:tr w:rsidRPr="00B7014C" w:rsidR="00B26EDF" w:rsidTr="00777CAA" w14:paraId="4C8BDDBA"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tcPr>
          <w:p w:rsidRPr="00B7014C" w:rsidR="00B26EDF" w:rsidP="00B26EDF" w:rsidRDefault="00B26EDF" w14:paraId="0213DA15" w14:textId="53772707">
            <w:pPr>
              <w:rPr>
                <w:color w:val="000000"/>
                <w:sz w:val="22"/>
                <w:szCs w:val="22"/>
              </w:rPr>
            </w:pPr>
            <w:r w:rsidRPr="00B7014C">
              <w:rPr>
                <w:color w:val="000000"/>
                <w:sz w:val="22"/>
                <w:szCs w:val="22"/>
              </w:rPr>
              <w:t>Marlborough</w:t>
            </w:r>
          </w:p>
        </w:tc>
        <w:tc>
          <w:tcPr>
            <w:tcW w:w="0" w:type="auto"/>
            <w:tcBorders>
              <w:top w:val="nil"/>
              <w:left w:val="nil"/>
              <w:bottom w:val="single" w:color="auto" w:sz="8" w:space="0"/>
              <w:right w:val="single" w:color="auto" w:sz="8" w:space="0"/>
            </w:tcBorders>
            <w:shd w:val="clear" w:color="auto" w:fill="auto"/>
            <w:noWrap/>
            <w:vAlign w:val="center"/>
          </w:tcPr>
          <w:p w:rsidRPr="00B7014C" w:rsidR="00B26EDF" w:rsidP="00B26EDF" w:rsidRDefault="00B26EDF" w14:paraId="4EA20110" w14:textId="2D560994">
            <w:pPr>
              <w:jc w:val="center"/>
              <w:rPr>
                <w:color w:val="000000"/>
                <w:sz w:val="22"/>
                <w:szCs w:val="22"/>
              </w:rPr>
            </w:pPr>
            <w:r w:rsidRPr="00B7014C">
              <w:rPr>
                <w:color w:val="000000"/>
                <w:sz w:val="22"/>
                <w:szCs w:val="22"/>
              </w:rPr>
              <w:t xml:space="preserve"> </w:t>
            </w:r>
            <w:r w:rsidRPr="00B7014C" w:rsidR="00D3122A">
              <w:rPr>
                <w:color w:val="000000"/>
                <w:sz w:val="22"/>
                <w:szCs w:val="22"/>
              </w:rPr>
              <w:t xml:space="preserve">1242 </w:t>
            </w:r>
            <w:r w:rsidRPr="00B7014C">
              <w:rPr>
                <w:color w:val="000000"/>
                <w:sz w:val="22"/>
                <w:szCs w:val="22"/>
              </w:rPr>
              <w:t>(1228)</w:t>
            </w:r>
          </w:p>
        </w:tc>
        <w:tc>
          <w:tcPr>
            <w:tcW w:w="0" w:type="auto"/>
            <w:tcBorders>
              <w:top w:val="nil"/>
              <w:left w:val="nil"/>
              <w:bottom w:val="single" w:color="auto" w:sz="8" w:space="0"/>
              <w:right w:val="single" w:color="auto" w:sz="8" w:space="0"/>
            </w:tcBorders>
            <w:shd w:val="clear" w:color="auto" w:fill="auto"/>
            <w:noWrap/>
            <w:vAlign w:val="center"/>
          </w:tcPr>
          <w:p w:rsidRPr="00B7014C" w:rsidR="00B26EDF" w:rsidP="00B26EDF" w:rsidRDefault="00F31F76" w14:paraId="380FADD0" w14:textId="6D545E10">
            <w:pPr>
              <w:jc w:val="center"/>
              <w:rPr>
                <w:color w:val="000000"/>
                <w:sz w:val="22"/>
                <w:szCs w:val="22"/>
              </w:rPr>
            </w:pPr>
            <w:r w:rsidRPr="00B7014C">
              <w:rPr>
                <w:color w:val="000000"/>
                <w:sz w:val="22"/>
                <w:szCs w:val="22"/>
              </w:rPr>
              <w:t xml:space="preserve">5.8% </w:t>
            </w:r>
            <w:r w:rsidRPr="00B7014C" w:rsidR="00B26EDF">
              <w:rPr>
                <w:color w:val="000000"/>
                <w:sz w:val="22"/>
                <w:szCs w:val="22"/>
              </w:rPr>
              <w:t>(5.7%)</w:t>
            </w:r>
          </w:p>
        </w:tc>
      </w:tr>
      <w:tr w:rsidRPr="00B7014C" w:rsidR="00B26EDF" w:rsidTr="00777CAA" w14:paraId="5E7484B5"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B26EDF" w:rsidP="00B26EDF" w:rsidRDefault="00B26EDF" w14:paraId="4EF55E13" w14:textId="71F664A4">
            <w:pPr>
              <w:rPr>
                <w:color w:val="000000"/>
                <w:sz w:val="22"/>
                <w:szCs w:val="22"/>
                <w:lang w:eastAsia="en-GB"/>
              </w:rPr>
            </w:pPr>
            <w:r w:rsidRPr="00B7014C">
              <w:rPr>
                <w:color w:val="000000"/>
                <w:sz w:val="22"/>
                <w:szCs w:val="22"/>
              </w:rPr>
              <w:t>Greenhill</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B26EDF" w:rsidP="00B26EDF" w:rsidRDefault="00B26EDF" w14:paraId="3626D84B" w14:textId="66EC7E52">
            <w:pPr>
              <w:jc w:val="center"/>
              <w:rPr>
                <w:color w:val="000000"/>
                <w:sz w:val="22"/>
                <w:szCs w:val="22"/>
                <w:lang w:eastAsia="en-GB"/>
              </w:rPr>
            </w:pPr>
            <w:r w:rsidRPr="00B7014C">
              <w:rPr>
                <w:color w:val="000000"/>
                <w:sz w:val="22"/>
                <w:szCs w:val="22"/>
              </w:rPr>
              <w:t xml:space="preserve"> </w:t>
            </w:r>
            <w:r w:rsidRPr="00B7014C" w:rsidR="00D3122A">
              <w:rPr>
                <w:color w:val="000000"/>
                <w:sz w:val="22"/>
                <w:szCs w:val="22"/>
              </w:rPr>
              <w:t xml:space="preserve">1240 </w:t>
            </w:r>
            <w:r w:rsidRPr="00B7014C">
              <w:rPr>
                <w:color w:val="000000"/>
                <w:sz w:val="22"/>
                <w:szCs w:val="22"/>
              </w:rPr>
              <w:t>(1232)</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B26EDF" w:rsidP="00B26EDF" w:rsidRDefault="001B50CE" w14:paraId="0B44837A" w14:textId="4E04AEC6">
            <w:pPr>
              <w:jc w:val="center"/>
              <w:rPr>
                <w:color w:val="000000"/>
                <w:sz w:val="22"/>
                <w:szCs w:val="22"/>
                <w:lang w:eastAsia="en-GB"/>
              </w:rPr>
            </w:pPr>
            <w:r w:rsidRPr="00B7014C">
              <w:rPr>
                <w:color w:val="000000"/>
                <w:sz w:val="22"/>
                <w:szCs w:val="22"/>
              </w:rPr>
              <w:t xml:space="preserve">5.8% </w:t>
            </w:r>
            <w:r w:rsidRPr="00B7014C" w:rsidR="00B26EDF">
              <w:rPr>
                <w:color w:val="000000"/>
                <w:sz w:val="22"/>
                <w:szCs w:val="22"/>
              </w:rPr>
              <w:t>(5.7%)</w:t>
            </w:r>
          </w:p>
        </w:tc>
      </w:tr>
      <w:tr w:rsidRPr="00B7014C" w:rsidR="00B26EDF" w:rsidTr="00777CAA" w14:paraId="09EA74BC"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B26EDF" w:rsidP="00B26EDF" w:rsidRDefault="00B26EDF" w14:paraId="52A48974" w14:textId="6B2F4B23">
            <w:pPr>
              <w:rPr>
                <w:color w:val="000000"/>
                <w:sz w:val="22"/>
                <w:szCs w:val="22"/>
                <w:lang w:eastAsia="en-GB"/>
              </w:rPr>
            </w:pPr>
            <w:r w:rsidRPr="00B7014C">
              <w:rPr>
                <w:color w:val="000000"/>
                <w:sz w:val="22"/>
                <w:szCs w:val="22"/>
              </w:rPr>
              <w:t>Wealdstone</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B26EDF" w:rsidP="00B26EDF" w:rsidRDefault="00B26EDF" w14:paraId="0D3A0122" w14:textId="653DADED">
            <w:pPr>
              <w:jc w:val="center"/>
              <w:rPr>
                <w:color w:val="000000"/>
                <w:sz w:val="22"/>
                <w:szCs w:val="22"/>
                <w:lang w:eastAsia="en-GB"/>
              </w:rPr>
            </w:pPr>
            <w:r w:rsidRPr="00B7014C">
              <w:rPr>
                <w:color w:val="000000"/>
                <w:sz w:val="22"/>
                <w:szCs w:val="22"/>
              </w:rPr>
              <w:t xml:space="preserve"> </w:t>
            </w:r>
            <w:r w:rsidRPr="00B7014C" w:rsidR="00D3122A">
              <w:rPr>
                <w:color w:val="000000"/>
                <w:sz w:val="22"/>
                <w:szCs w:val="22"/>
              </w:rPr>
              <w:t xml:space="preserve">1204 </w:t>
            </w:r>
            <w:r w:rsidRPr="00B7014C">
              <w:rPr>
                <w:color w:val="000000"/>
                <w:sz w:val="22"/>
                <w:szCs w:val="22"/>
              </w:rPr>
              <w:t>(1223)</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B26EDF" w:rsidP="00B26EDF" w:rsidRDefault="001B50CE" w14:paraId="054A2E9A" w14:textId="1C725BE8">
            <w:pPr>
              <w:jc w:val="center"/>
              <w:rPr>
                <w:color w:val="000000"/>
                <w:sz w:val="22"/>
                <w:szCs w:val="22"/>
                <w:lang w:eastAsia="en-GB"/>
              </w:rPr>
            </w:pPr>
            <w:r w:rsidRPr="00B7014C">
              <w:rPr>
                <w:color w:val="000000"/>
                <w:sz w:val="22"/>
                <w:szCs w:val="22"/>
              </w:rPr>
              <w:t xml:space="preserve">5.6% </w:t>
            </w:r>
            <w:r w:rsidRPr="00B7014C" w:rsidR="00B26EDF">
              <w:rPr>
                <w:color w:val="000000"/>
                <w:sz w:val="22"/>
                <w:szCs w:val="22"/>
              </w:rPr>
              <w:t>(5.6%)</w:t>
            </w:r>
          </w:p>
        </w:tc>
      </w:tr>
      <w:tr w:rsidRPr="00B7014C" w:rsidR="00B26EDF" w:rsidTr="00777CAA" w14:paraId="13D9A826"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B26EDF" w:rsidP="00B26EDF" w:rsidRDefault="00B26EDF" w14:paraId="028CF8E9" w14:textId="53DF137C">
            <w:pPr>
              <w:rPr>
                <w:color w:val="000000"/>
                <w:sz w:val="22"/>
                <w:szCs w:val="22"/>
                <w:lang w:eastAsia="en-GB"/>
              </w:rPr>
            </w:pPr>
            <w:r w:rsidRPr="00B7014C">
              <w:rPr>
                <w:color w:val="000000"/>
                <w:sz w:val="22"/>
                <w:szCs w:val="22"/>
              </w:rPr>
              <w:t>Queensbury</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B26EDF" w:rsidP="00B26EDF" w:rsidRDefault="00B26EDF" w14:paraId="7535C75A" w14:textId="4A02B745">
            <w:pPr>
              <w:jc w:val="center"/>
              <w:rPr>
                <w:color w:val="000000"/>
                <w:sz w:val="22"/>
                <w:szCs w:val="22"/>
                <w:lang w:eastAsia="en-GB"/>
              </w:rPr>
            </w:pPr>
            <w:r w:rsidRPr="00B7014C">
              <w:rPr>
                <w:color w:val="000000"/>
                <w:sz w:val="22"/>
                <w:szCs w:val="22"/>
              </w:rPr>
              <w:t xml:space="preserve"> </w:t>
            </w:r>
            <w:r w:rsidRPr="00B7014C" w:rsidR="00D3122A">
              <w:rPr>
                <w:color w:val="000000"/>
                <w:sz w:val="22"/>
                <w:szCs w:val="22"/>
              </w:rPr>
              <w:t xml:space="preserve">1062 </w:t>
            </w:r>
            <w:r w:rsidRPr="00B7014C">
              <w:rPr>
                <w:color w:val="000000"/>
                <w:sz w:val="22"/>
                <w:szCs w:val="22"/>
              </w:rPr>
              <w:t>(1046)</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B26EDF" w:rsidP="00B26EDF" w:rsidRDefault="001B50CE" w14:paraId="2B2DB731" w14:textId="73E60D4F">
            <w:pPr>
              <w:jc w:val="center"/>
              <w:rPr>
                <w:color w:val="000000"/>
                <w:sz w:val="22"/>
                <w:szCs w:val="22"/>
                <w:lang w:eastAsia="en-GB"/>
              </w:rPr>
            </w:pPr>
            <w:r w:rsidRPr="00B7014C">
              <w:rPr>
                <w:color w:val="000000"/>
                <w:sz w:val="22"/>
                <w:szCs w:val="22"/>
              </w:rPr>
              <w:t xml:space="preserve">4.9% </w:t>
            </w:r>
            <w:r w:rsidRPr="00B7014C" w:rsidR="00B26EDF">
              <w:rPr>
                <w:color w:val="000000"/>
                <w:sz w:val="22"/>
                <w:szCs w:val="22"/>
              </w:rPr>
              <w:t>(4.8%)</w:t>
            </w:r>
          </w:p>
        </w:tc>
      </w:tr>
      <w:tr w:rsidRPr="00B7014C" w:rsidR="00B26EDF" w:rsidTr="00777CAA" w14:paraId="224DC273"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B26EDF" w:rsidP="00B26EDF" w:rsidRDefault="00B26EDF" w14:paraId="20146903" w14:textId="548AB495">
            <w:pPr>
              <w:rPr>
                <w:color w:val="000000"/>
                <w:sz w:val="22"/>
                <w:szCs w:val="22"/>
                <w:lang w:eastAsia="en-GB"/>
              </w:rPr>
            </w:pPr>
            <w:r w:rsidRPr="00B7014C">
              <w:rPr>
                <w:color w:val="000000"/>
                <w:sz w:val="22"/>
                <w:szCs w:val="22"/>
              </w:rPr>
              <w:t>Edgware</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B26EDF" w:rsidP="00B26EDF" w:rsidRDefault="00B26EDF" w14:paraId="4A0D5C33" w14:textId="7BCEB610">
            <w:pPr>
              <w:jc w:val="center"/>
              <w:rPr>
                <w:color w:val="000000"/>
                <w:sz w:val="22"/>
                <w:szCs w:val="22"/>
                <w:lang w:eastAsia="en-GB"/>
              </w:rPr>
            </w:pPr>
            <w:r w:rsidRPr="00B7014C">
              <w:rPr>
                <w:color w:val="000000"/>
                <w:sz w:val="22"/>
                <w:szCs w:val="22"/>
              </w:rPr>
              <w:t xml:space="preserve"> </w:t>
            </w:r>
            <w:r w:rsidRPr="00B7014C" w:rsidR="00D3122A">
              <w:rPr>
                <w:color w:val="000000"/>
                <w:sz w:val="22"/>
                <w:szCs w:val="22"/>
              </w:rPr>
              <w:t xml:space="preserve">986 </w:t>
            </w:r>
            <w:r w:rsidRPr="00B7014C">
              <w:rPr>
                <w:color w:val="000000"/>
                <w:sz w:val="22"/>
                <w:szCs w:val="22"/>
              </w:rPr>
              <w:t>(1023)</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B26EDF" w:rsidP="00B26EDF" w:rsidRDefault="001B50CE" w14:paraId="7D96EEA2" w14:textId="21F2938E">
            <w:pPr>
              <w:jc w:val="center"/>
              <w:rPr>
                <w:color w:val="000000"/>
                <w:sz w:val="22"/>
                <w:szCs w:val="22"/>
                <w:lang w:eastAsia="en-GB"/>
              </w:rPr>
            </w:pPr>
            <w:r w:rsidRPr="00B7014C">
              <w:rPr>
                <w:color w:val="000000"/>
                <w:sz w:val="22"/>
                <w:szCs w:val="22"/>
              </w:rPr>
              <w:t xml:space="preserve">4.6% </w:t>
            </w:r>
            <w:r w:rsidRPr="00B7014C" w:rsidR="00B26EDF">
              <w:rPr>
                <w:color w:val="000000"/>
                <w:sz w:val="22"/>
                <w:szCs w:val="22"/>
              </w:rPr>
              <w:t>(4.7%)</w:t>
            </w:r>
          </w:p>
        </w:tc>
      </w:tr>
      <w:tr w:rsidRPr="00B7014C" w:rsidR="0078778D" w:rsidTr="00777CAA" w14:paraId="095FF54C"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tcPr>
          <w:p w:rsidRPr="00B7014C" w:rsidR="0078778D" w:rsidP="0078778D" w:rsidRDefault="0078778D" w14:paraId="31FB78E8" w14:textId="2BB2734A">
            <w:pPr>
              <w:rPr>
                <w:color w:val="000000"/>
                <w:sz w:val="22"/>
                <w:szCs w:val="22"/>
              </w:rPr>
            </w:pPr>
            <w:r w:rsidRPr="00B7014C">
              <w:rPr>
                <w:color w:val="000000"/>
                <w:sz w:val="22"/>
                <w:szCs w:val="22"/>
              </w:rPr>
              <w:t>Pinner South</w:t>
            </w:r>
          </w:p>
        </w:tc>
        <w:tc>
          <w:tcPr>
            <w:tcW w:w="0" w:type="auto"/>
            <w:tcBorders>
              <w:top w:val="nil"/>
              <w:left w:val="nil"/>
              <w:bottom w:val="single" w:color="auto" w:sz="8" w:space="0"/>
              <w:right w:val="single" w:color="auto" w:sz="8" w:space="0"/>
            </w:tcBorders>
            <w:shd w:val="clear" w:color="auto" w:fill="auto"/>
            <w:noWrap/>
            <w:vAlign w:val="center"/>
          </w:tcPr>
          <w:p w:rsidRPr="00B7014C" w:rsidR="0078778D" w:rsidP="0078778D" w:rsidRDefault="0078778D" w14:paraId="175A189A" w14:textId="77FDA164">
            <w:pPr>
              <w:jc w:val="center"/>
              <w:rPr>
                <w:color w:val="000000"/>
                <w:sz w:val="22"/>
                <w:szCs w:val="22"/>
              </w:rPr>
            </w:pPr>
            <w:r w:rsidRPr="00B7014C">
              <w:rPr>
                <w:color w:val="000000"/>
                <w:sz w:val="22"/>
                <w:szCs w:val="22"/>
              </w:rPr>
              <w:t xml:space="preserve"> 950 (985)</w:t>
            </w:r>
          </w:p>
        </w:tc>
        <w:tc>
          <w:tcPr>
            <w:tcW w:w="0" w:type="auto"/>
            <w:tcBorders>
              <w:top w:val="nil"/>
              <w:left w:val="nil"/>
              <w:bottom w:val="single" w:color="auto" w:sz="8" w:space="0"/>
              <w:right w:val="single" w:color="auto" w:sz="8" w:space="0"/>
            </w:tcBorders>
            <w:shd w:val="clear" w:color="auto" w:fill="auto"/>
            <w:noWrap/>
            <w:vAlign w:val="center"/>
          </w:tcPr>
          <w:p w:rsidRPr="00B7014C" w:rsidR="0078778D" w:rsidP="0078778D" w:rsidRDefault="0078778D" w14:paraId="766E87E3" w14:textId="029B0AD4">
            <w:pPr>
              <w:jc w:val="center"/>
              <w:rPr>
                <w:color w:val="000000"/>
                <w:sz w:val="22"/>
                <w:szCs w:val="22"/>
              </w:rPr>
            </w:pPr>
            <w:r w:rsidRPr="00B7014C">
              <w:rPr>
                <w:color w:val="000000"/>
                <w:sz w:val="22"/>
                <w:szCs w:val="22"/>
              </w:rPr>
              <w:t>4.4% (4.5%)</w:t>
            </w:r>
          </w:p>
        </w:tc>
      </w:tr>
      <w:tr w:rsidRPr="00B7014C" w:rsidR="0078778D" w:rsidTr="00777CAA" w14:paraId="42252BE6"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78778D" w:rsidP="0078778D" w:rsidRDefault="0078778D" w14:paraId="1C298A86" w14:textId="08730B04">
            <w:pPr>
              <w:rPr>
                <w:color w:val="000000"/>
                <w:sz w:val="22"/>
                <w:szCs w:val="22"/>
                <w:lang w:eastAsia="en-GB"/>
              </w:rPr>
            </w:pPr>
            <w:r w:rsidRPr="00B7014C">
              <w:rPr>
                <w:color w:val="000000"/>
                <w:sz w:val="22"/>
                <w:szCs w:val="22"/>
              </w:rPr>
              <w:t>Headstone South</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78778D" w:rsidP="0078778D" w:rsidRDefault="0078778D" w14:paraId="00B3FADE" w14:textId="27FAF10E">
            <w:pPr>
              <w:jc w:val="center"/>
              <w:rPr>
                <w:color w:val="000000"/>
                <w:sz w:val="22"/>
                <w:szCs w:val="22"/>
                <w:lang w:eastAsia="en-GB"/>
              </w:rPr>
            </w:pPr>
            <w:r w:rsidRPr="00B7014C">
              <w:rPr>
                <w:color w:val="000000"/>
                <w:sz w:val="22"/>
                <w:szCs w:val="22"/>
              </w:rPr>
              <w:t xml:space="preserve"> 950 (989)</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78778D" w:rsidP="0078778D" w:rsidRDefault="0078778D" w14:paraId="13ABD55E" w14:textId="3EC1FF77">
            <w:pPr>
              <w:jc w:val="center"/>
              <w:rPr>
                <w:color w:val="000000"/>
                <w:sz w:val="22"/>
                <w:szCs w:val="22"/>
                <w:lang w:eastAsia="en-GB"/>
              </w:rPr>
            </w:pPr>
            <w:r w:rsidRPr="00B7014C">
              <w:rPr>
                <w:color w:val="000000"/>
                <w:sz w:val="22"/>
                <w:szCs w:val="22"/>
              </w:rPr>
              <w:t>4.4% (4.6%)</w:t>
            </w:r>
          </w:p>
        </w:tc>
      </w:tr>
      <w:tr w:rsidRPr="00B7014C" w:rsidR="009864B7" w:rsidTr="00FA054D" w14:paraId="11C0830D"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9864B7" w:rsidP="00FA054D" w:rsidRDefault="009864B7" w14:paraId="7DB7613E" w14:textId="77777777">
            <w:pPr>
              <w:rPr>
                <w:color w:val="000000"/>
                <w:sz w:val="22"/>
                <w:szCs w:val="22"/>
                <w:lang w:eastAsia="en-GB"/>
              </w:rPr>
            </w:pPr>
            <w:r w:rsidRPr="00B7014C">
              <w:rPr>
                <w:color w:val="000000"/>
                <w:sz w:val="22"/>
                <w:szCs w:val="22"/>
              </w:rPr>
              <w:t>Belmont</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9864B7" w:rsidP="00FA054D" w:rsidRDefault="009864B7" w14:paraId="7F1A8B05" w14:textId="3F1B40A9">
            <w:pPr>
              <w:jc w:val="center"/>
              <w:rPr>
                <w:color w:val="000000"/>
                <w:sz w:val="22"/>
                <w:szCs w:val="22"/>
                <w:lang w:eastAsia="en-GB"/>
              </w:rPr>
            </w:pPr>
            <w:r w:rsidRPr="00B7014C">
              <w:rPr>
                <w:color w:val="000000"/>
                <w:sz w:val="22"/>
                <w:szCs w:val="22"/>
              </w:rPr>
              <w:t>924 (945)</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9864B7" w:rsidP="00FA054D" w:rsidRDefault="009864B7" w14:paraId="385436A1" w14:textId="58A93340">
            <w:pPr>
              <w:jc w:val="center"/>
              <w:rPr>
                <w:color w:val="000000"/>
                <w:sz w:val="22"/>
                <w:szCs w:val="22"/>
                <w:lang w:eastAsia="en-GB"/>
              </w:rPr>
            </w:pPr>
            <w:r w:rsidRPr="00B7014C">
              <w:rPr>
                <w:color w:val="000000"/>
                <w:sz w:val="22"/>
                <w:szCs w:val="22"/>
              </w:rPr>
              <w:t>4.3% (4.4%)</w:t>
            </w:r>
          </w:p>
        </w:tc>
      </w:tr>
      <w:tr w:rsidRPr="00B7014C" w:rsidR="0078778D" w:rsidTr="00777CAA" w14:paraId="393E3CC2"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78778D" w:rsidP="0078778D" w:rsidRDefault="0078778D" w14:paraId="07B687A8" w14:textId="54B36804">
            <w:pPr>
              <w:rPr>
                <w:color w:val="000000"/>
                <w:sz w:val="22"/>
                <w:szCs w:val="22"/>
                <w:lang w:eastAsia="en-GB"/>
              </w:rPr>
            </w:pPr>
            <w:r w:rsidRPr="00B7014C">
              <w:rPr>
                <w:color w:val="000000"/>
                <w:sz w:val="22"/>
                <w:szCs w:val="22"/>
              </w:rPr>
              <w:t>Rayners Lane</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78778D" w:rsidP="0078778D" w:rsidRDefault="0078778D" w14:paraId="007EE837" w14:textId="5B3DD2E5">
            <w:pPr>
              <w:jc w:val="center"/>
              <w:rPr>
                <w:color w:val="000000"/>
                <w:sz w:val="22"/>
                <w:szCs w:val="22"/>
                <w:lang w:eastAsia="en-GB"/>
              </w:rPr>
            </w:pPr>
            <w:r w:rsidRPr="00B7014C">
              <w:rPr>
                <w:color w:val="000000"/>
                <w:sz w:val="22"/>
                <w:szCs w:val="22"/>
              </w:rPr>
              <w:t xml:space="preserve"> 901 (972)</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78778D" w:rsidP="0078778D" w:rsidRDefault="00D9328C" w14:paraId="1F9F3197" w14:textId="33A9E12F">
            <w:pPr>
              <w:jc w:val="center"/>
              <w:rPr>
                <w:color w:val="000000"/>
                <w:sz w:val="22"/>
                <w:szCs w:val="22"/>
                <w:lang w:eastAsia="en-GB"/>
              </w:rPr>
            </w:pPr>
            <w:r w:rsidRPr="00B7014C">
              <w:rPr>
                <w:color w:val="000000"/>
                <w:sz w:val="22"/>
                <w:szCs w:val="22"/>
              </w:rPr>
              <w:t xml:space="preserve">4.2% </w:t>
            </w:r>
            <w:r w:rsidRPr="00B7014C" w:rsidR="0078778D">
              <w:rPr>
                <w:color w:val="000000"/>
                <w:sz w:val="22"/>
                <w:szCs w:val="22"/>
              </w:rPr>
              <w:t>(4.5%)</w:t>
            </w:r>
          </w:p>
        </w:tc>
      </w:tr>
      <w:tr w:rsidRPr="00B7014C" w:rsidR="0078778D" w:rsidTr="00777CAA" w14:paraId="14FC8C40"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78778D" w:rsidP="0078778D" w:rsidRDefault="0078778D" w14:paraId="731FDF7D" w14:textId="4AA70D03">
            <w:pPr>
              <w:rPr>
                <w:color w:val="000000"/>
                <w:sz w:val="22"/>
                <w:szCs w:val="22"/>
                <w:lang w:eastAsia="en-GB"/>
              </w:rPr>
            </w:pPr>
            <w:r w:rsidRPr="00B7014C">
              <w:rPr>
                <w:color w:val="000000"/>
                <w:sz w:val="22"/>
                <w:szCs w:val="22"/>
              </w:rPr>
              <w:t>Harrow Weald</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78778D" w:rsidP="0078778D" w:rsidRDefault="00D9328C" w14:paraId="28CDC489" w14:textId="6C42D328">
            <w:pPr>
              <w:jc w:val="center"/>
              <w:rPr>
                <w:color w:val="000000"/>
                <w:sz w:val="22"/>
                <w:szCs w:val="22"/>
                <w:lang w:eastAsia="en-GB"/>
              </w:rPr>
            </w:pPr>
            <w:r w:rsidRPr="00B7014C">
              <w:rPr>
                <w:color w:val="000000"/>
                <w:sz w:val="22"/>
                <w:szCs w:val="22"/>
              </w:rPr>
              <w:t>873</w:t>
            </w:r>
            <w:r w:rsidRPr="00B7014C" w:rsidR="0078778D">
              <w:rPr>
                <w:color w:val="000000"/>
                <w:sz w:val="22"/>
                <w:szCs w:val="22"/>
              </w:rPr>
              <w:t xml:space="preserve"> (912)</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78778D" w:rsidP="0078778D" w:rsidRDefault="00D9328C" w14:paraId="78F974A3" w14:textId="018F9452">
            <w:pPr>
              <w:jc w:val="center"/>
              <w:rPr>
                <w:color w:val="000000"/>
                <w:sz w:val="22"/>
                <w:szCs w:val="22"/>
                <w:lang w:eastAsia="en-GB"/>
              </w:rPr>
            </w:pPr>
            <w:r w:rsidRPr="00B7014C">
              <w:rPr>
                <w:color w:val="000000"/>
                <w:sz w:val="22"/>
                <w:szCs w:val="22"/>
              </w:rPr>
              <w:t xml:space="preserve">4.1% </w:t>
            </w:r>
            <w:r w:rsidRPr="00B7014C" w:rsidR="0078778D">
              <w:rPr>
                <w:color w:val="000000"/>
                <w:sz w:val="22"/>
                <w:szCs w:val="22"/>
              </w:rPr>
              <w:t>(4.2%)</w:t>
            </w:r>
          </w:p>
        </w:tc>
      </w:tr>
      <w:tr w:rsidRPr="00B7014C" w:rsidR="0078778D" w:rsidTr="00777CAA" w14:paraId="0927A800"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78778D" w:rsidP="0078778D" w:rsidRDefault="0078778D" w14:paraId="379D309E" w14:textId="2C735D74">
            <w:pPr>
              <w:rPr>
                <w:color w:val="000000"/>
                <w:sz w:val="22"/>
                <w:szCs w:val="22"/>
                <w:lang w:eastAsia="en-GB"/>
              </w:rPr>
            </w:pPr>
            <w:r w:rsidRPr="00B7014C">
              <w:rPr>
                <w:color w:val="000000"/>
                <w:sz w:val="22"/>
                <w:szCs w:val="22"/>
              </w:rPr>
              <w:t>Kenton East</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78778D" w:rsidP="0078778D" w:rsidRDefault="009A3595" w14:paraId="245EEE2C" w14:textId="4648060F">
            <w:pPr>
              <w:jc w:val="center"/>
              <w:rPr>
                <w:color w:val="000000"/>
                <w:sz w:val="22"/>
                <w:szCs w:val="22"/>
                <w:lang w:eastAsia="en-GB"/>
              </w:rPr>
            </w:pPr>
            <w:r w:rsidRPr="00B7014C">
              <w:rPr>
                <w:color w:val="000000"/>
                <w:sz w:val="22"/>
                <w:szCs w:val="22"/>
              </w:rPr>
              <w:t xml:space="preserve">873 </w:t>
            </w:r>
            <w:r w:rsidRPr="00B7014C" w:rsidR="0078778D">
              <w:rPr>
                <w:color w:val="000000"/>
                <w:sz w:val="22"/>
                <w:szCs w:val="22"/>
              </w:rPr>
              <w:t>(880)</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78778D" w:rsidP="0078778D" w:rsidRDefault="009A3595" w14:paraId="68E3E07A" w14:textId="42A046C3">
            <w:pPr>
              <w:jc w:val="center"/>
              <w:rPr>
                <w:color w:val="000000"/>
                <w:sz w:val="22"/>
                <w:szCs w:val="22"/>
                <w:lang w:eastAsia="en-GB"/>
              </w:rPr>
            </w:pPr>
            <w:r w:rsidRPr="00B7014C">
              <w:rPr>
                <w:color w:val="000000"/>
                <w:sz w:val="22"/>
                <w:szCs w:val="22"/>
              </w:rPr>
              <w:t xml:space="preserve">4.1% </w:t>
            </w:r>
            <w:r w:rsidRPr="00B7014C" w:rsidR="0078778D">
              <w:rPr>
                <w:color w:val="000000"/>
                <w:sz w:val="22"/>
                <w:szCs w:val="22"/>
              </w:rPr>
              <w:t>(4.1%)</w:t>
            </w:r>
          </w:p>
        </w:tc>
      </w:tr>
      <w:tr w:rsidRPr="00B7014C" w:rsidR="009A3595" w:rsidTr="00777CAA" w14:paraId="7C8DFBB5"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tcPr>
          <w:p w:rsidRPr="00B7014C" w:rsidR="009A3595" w:rsidP="009A3595" w:rsidRDefault="009A3595" w14:paraId="1FC9B23F" w14:textId="2BB727D8">
            <w:pPr>
              <w:rPr>
                <w:color w:val="000000"/>
                <w:sz w:val="22"/>
                <w:szCs w:val="22"/>
              </w:rPr>
            </w:pPr>
            <w:r w:rsidRPr="00B7014C">
              <w:rPr>
                <w:color w:val="000000"/>
                <w:sz w:val="22"/>
                <w:szCs w:val="22"/>
              </w:rPr>
              <w:t>Headstone North</w:t>
            </w:r>
          </w:p>
        </w:tc>
        <w:tc>
          <w:tcPr>
            <w:tcW w:w="0" w:type="auto"/>
            <w:tcBorders>
              <w:top w:val="nil"/>
              <w:left w:val="nil"/>
              <w:bottom w:val="single" w:color="auto" w:sz="8" w:space="0"/>
              <w:right w:val="single" w:color="auto" w:sz="8" w:space="0"/>
            </w:tcBorders>
            <w:shd w:val="clear" w:color="auto" w:fill="auto"/>
            <w:noWrap/>
            <w:vAlign w:val="center"/>
          </w:tcPr>
          <w:p w:rsidRPr="00B7014C" w:rsidR="009A3595" w:rsidP="009A3595" w:rsidRDefault="009A3595" w14:paraId="17C7D4A9" w14:textId="2D380437">
            <w:pPr>
              <w:jc w:val="center"/>
              <w:rPr>
                <w:color w:val="000000"/>
                <w:sz w:val="22"/>
                <w:szCs w:val="22"/>
              </w:rPr>
            </w:pPr>
            <w:r w:rsidRPr="00B7014C">
              <w:rPr>
                <w:color w:val="000000"/>
                <w:sz w:val="22"/>
                <w:szCs w:val="22"/>
              </w:rPr>
              <w:t>863 (761)</w:t>
            </w:r>
          </w:p>
        </w:tc>
        <w:tc>
          <w:tcPr>
            <w:tcW w:w="0" w:type="auto"/>
            <w:tcBorders>
              <w:top w:val="nil"/>
              <w:left w:val="nil"/>
              <w:bottom w:val="single" w:color="auto" w:sz="8" w:space="0"/>
              <w:right w:val="single" w:color="auto" w:sz="8" w:space="0"/>
            </w:tcBorders>
            <w:shd w:val="clear" w:color="auto" w:fill="auto"/>
            <w:noWrap/>
            <w:vAlign w:val="center"/>
          </w:tcPr>
          <w:p w:rsidRPr="00B7014C" w:rsidR="009A3595" w:rsidP="009A3595" w:rsidRDefault="009A3595" w14:paraId="68360C97" w14:textId="488660D2">
            <w:pPr>
              <w:jc w:val="center"/>
              <w:rPr>
                <w:color w:val="000000"/>
                <w:sz w:val="22"/>
                <w:szCs w:val="22"/>
              </w:rPr>
            </w:pPr>
            <w:r w:rsidRPr="00B7014C">
              <w:rPr>
                <w:color w:val="000000"/>
                <w:sz w:val="22"/>
                <w:szCs w:val="22"/>
              </w:rPr>
              <w:t>4.0% (3.5%)</w:t>
            </w:r>
          </w:p>
        </w:tc>
      </w:tr>
      <w:tr w:rsidRPr="00B7014C" w:rsidR="009A3595" w:rsidTr="00777CAA" w14:paraId="43DCEA83"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9A3595" w:rsidP="009A3595" w:rsidRDefault="009A3595" w14:paraId="5164CF42" w14:textId="33F954A3">
            <w:pPr>
              <w:rPr>
                <w:color w:val="000000"/>
                <w:sz w:val="22"/>
                <w:szCs w:val="22"/>
                <w:lang w:eastAsia="en-GB"/>
              </w:rPr>
            </w:pPr>
            <w:r w:rsidRPr="00B7014C">
              <w:rPr>
                <w:color w:val="000000"/>
                <w:sz w:val="22"/>
                <w:szCs w:val="22"/>
              </w:rPr>
              <w:t>West Harrow</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9A3595" w:rsidP="009A3595" w:rsidRDefault="00AB7E10" w14:paraId="236FE6DA" w14:textId="1064FEDE">
            <w:pPr>
              <w:jc w:val="center"/>
              <w:rPr>
                <w:color w:val="000000"/>
                <w:sz w:val="22"/>
                <w:szCs w:val="22"/>
                <w:lang w:eastAsia="en-GB"/>
              </w:rPr>
            </w:pPr>
            <w:r w:rsidRPr="00B7014C">
              <w:rPr>
                <w:color w:val="000000"/>
                <w:sz w:val="22"/>
                <w:szCs w:val="22"/>
              </w:rPr>
              <w:t xml:space="preserve">845 </w:t>
            </w:r>
            <w:r w:rsidRPr="00B7014C" w:rsidR="009A3595">
              <w:rPr>
                <w:color w:val="000000"/>
                <w:sz w:val="22"/>
                <w:szCs w:val="22"/>
              </w:rPr>
              <w:t>(838)</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9A3595" w:rsidP="009A3595" w:rsidRDefault="00AB7E10" w14:paraId="16F804CD" w14:textId="2C038E3A">
            <w:pPr>
              <w:jc w:val="center"/>
              <w:rPr>
                <w:color w:val="000000"/>
                <w:sz w:val="22"/>
                <w:szCs w:val="22"/>
                <w:lang w:eastAsia="en-GB"/>
              </w:rPr>
            </w:pPr>
            <w:r w:rsidRPr="00B7014C">
              <w:rPr>
                <w:color w:val="000000"/>
                <w:sz w:val="22"/>
                <w:szCs w:val="22"/>
              </w:rPr>
              <w:t xml:space="preserve">3.9% </w:t>
            </w:r>
            <w:r w:rsidRPr="00B7014C" w:rsidR="009A3595">
              <w:rPr>
                <w:color w:val="000000"/>
                <w:sz w:val="22"/>
                <w:szCs w:val="22"/>
              </w:rPr>
              <w:t>(3.9%)</w:t>
            </w:r>
          </w:p>
        </w:tc>
      </w:tr>
      <w:tr w:rsidRPr="00B7014C" w:rsidR="00AB7E10" w:rsidTr="00777CAA" w14:paraId="265DC603"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tcPr>
          <w:p w:rsidRPr="00B7014C" w:rsidR="00AB7E10" w:rsidP="00AB7E10" w:rsidRDefault="00AB7E10" w14:paraId="0525EA90" w14:textId="47485DD9">
            <w:pPr>
              <w:rPr>
                <w:color w:val="000000"/>
                <w:sz w:val="22"/>
                <w:szCs w:val="22"/>
              </w:rPr>
            </w:pPr>
            <w:r w:rsidRPr="00B7014C">
              <w:rPr>
                <w:color w:val="000000"/>
                <w:sz w:val="22"/>
                <w:szCs w:val="22"/>
              </w:rPr>
              <w:t>Kenton West</w:t>
            </w:r>
          </w:p>
        </w:tc>
        <w:tc>
          <w:tcPr>
            <w:tcW w:w="0" w:type="auto"/>
            <w:tcBorders>
              <w:top w:val="nil"/>
              <w:left w:val="nil"/>
              <w:bottom w:val="single" w:color="auto" w:sz="8" w:space="0"/>
              <w:right w:val="single" w:color="auto" w:sz="8" w:space="0"/>
            </w:tcBorders>
            <w:shd w:val="clear" w:color="auto" w:fill="auto"/>
            <w:noWrap/>
            <w:vAlign w:val="center"/>
          </w:tcPr>
          <w:p w:rsidRPr="00B7014C" w:rsidR="00AB7E10" w:rsidP="00AB7E10" w:rsidRDefault="00883711" w14:paraId="1AA45255" w14:textId="7F6207AA">
            <w:pPr>
              <w:jc w:val="center"/>
              <w:rPr>
                <w:color w:val="000000"/>
                <w:sz w:val="22"/>
                <w:szCs w:val="22"/>
              </w:rPr>
            </w:pPr>
            <w:r w:rsidRPr="00B7014C">
              <w:rPr>
                <w:color w:val="000000"/>
                <w:sz w:val="22"/>
                <w:szCs w:val="22"/>
              </w:rPr>
              <w:t xml:space="preserve">818 </w:t>
            </w:r>
            <w:r w:rsidRPr="00B7014C" w:rsidR="00AB7E10">
              <w:rPr>
                <w:color w:val="000000"/>
                <w:sz w:val="22"/>
                <w:szCs w:val="22"/>
              </w:rPr>
              <w:t>(788)</w:t>
            </w:r>
          </w:p>
        </w:tc>
        <w:tc>
          <w:tcPr>
            <w:tcW w:w="0" w:type="auto"/>
            <w:tcBorders>
              <w:top w:val="nil"/>
              <w:left w:val="nil"/>
              <w:bottom w:val="single" w:color="auto" w:sz="8" w:space="0"/>
              <w:right w:val="single" w:color="auto" w:sz="8" w:space="0"/>
            </w:tcBorders>
            <w:shd w:val="clear" w:color="auto" w:fill="auto"/>
            <w:noWrap/>
            <w:vAlign w:val="center"/>
          </w:tcPr>
          <w:p w:rsidRPr="00B7014C" w:rsidR="00AB7E10" w:rsidP="00AB7E10" w:rsidRDefault="00883711" w14:paraId="2CF74D50" w14:textId="12314FF3">
            <w:pPr>
              <w:jc w:val="center"/>
              <w:rPr>
                <w:color w:val="000000"/>
                <w:sz w:val="22"/>
                <w:szCs w:val="22"/>
              </w:rPr>
            </w:pPr>
            <w:r w:rsidRPr="00B7014C">
              <w:rPr>
                <w:color w:val="000000"/>
                <w:sz w:val="22"/>
                <w:szCs w:val="22"/>
              </w:rPr>
              <w:t xml:space="preserve">3.8% </w:t>
            </w:r>
            <w:r w:rsidRPr="00B7014C" w:rsidR="00AB7E10">
              <w:rPr>
                <w:color w:val="000000"/>
                <w:sz w:val="22"/>
                <w:szCs w:val="22"/>
              </w:rPr>
              <w:t>(3.6%)</w:t>
            </w:r>
          </w:p>
        </w:tc>
      </w:tr>
      <w:tr w:rsidRPr="00B7014C" w:rsidR="00883711" w:rsidTr="00777CAA" w14:paraId="154F27F1"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tcPr>
          <w:p w:rsidRPr="00B7014C" w:rsidR="00883711" w:rsidP="00883711" w:rsidRDefault="00883711" w14:paraId="75896866" w14:textId="475BA3F9">
            <w:pPr>
              <w:rPr>
                <w:color w:val="000000"/>
                <w:sz w:val="22"/>
                <w:szCs w:val="22"/>
              </w:rPr>
            </w:pPr>
            <w:proofErr w:type="spellStart"/>
            <w:r w:rsidRPr="00B7014C">
              <w:rPr>
                <w:color w:val="000000"/>
                <w:sz w:val="22"/>
                <w:szCs w:val="22"/>
              </w:rPr>
              <w:t>Roxeth</w:t>
            </w:r>
            <w:proofErr w:type="spellEnd"/>
          </w:p>
        </w:tc>
        <w:tc>
          <w:tcPr>
            <w:tcW w:w="0" w:type="auto"/>
            <w:tcBorders>
              <w:top w:val="nil"/>
              <w:left w:val="nil"/>
              <w:bottom w:val="single" w:color="auto" w:sz="8" w:space="0"/>
              <w:right w:val="single" w:color="auto" w:sz="8" w:space="0"/>
            </w:tcBorders>
            <w:shd w:val="clear" w:color="auto" w:fill="auto"/>
            <w:noWrap/>
            <w:vAlign w:val="center"/>
          </w:tcPr>
          <w:p w:rsidRPr="00B7014C" w:rsidR="00883711" w:rsidP="00883711" w:rsidRDefault="00E87D0B" w14:paraId="33770E43" w14:textId="16BC1F59">
            <w:pPr>
              <w:jc w:val="center"/>
              <w:rPr>
                <w:color w:val="000000"/>
                <w:sz w:val="22"/>
                <w:szCs w:val="22"/>
              </w:rPr>
            </w:pPr>
            <w:r w:rsidRPr="00B7014C">
              <w:rPr>
                <w:color w:val="000000"/>
                <w:sz w:val="22"/>
                <w:szCs w:val="22"/>
              </w:rPr>
              <w:t xml:space="preserve">786 </w:t>
            </w:r>
            <w:r w:rsidRPr="00B7014C" w:rsidR="00883711">
              <w:rPr>
                <w:color w:val="000000"/>
                <w:sz w:val="22"/>
                <w:szCs w:val="22"/>
              </w:rPr>
              <w:t>(772)</w:t>
            </w:r>
          </w:p>
        </w:tc>
        <w:tc>
          <w:tcPr>
            <w:tcW w:w="0" w:type="auto"/>
            <w:tcBorders>
              <w:top w:val="nil"/>
              <w:left w:val="nil"/>
              <w:bottom w:val="single" w:color="auto" w:sz="8" w:space="0"/>
              <w:right w:val="single" w:color="auto" w:sz="8" w:space="0"/>
            </w:tcBorders>
            <w:shd w:val="clear" w:color="auto" w:fill="auto"/>
            <w:noWrap/>
            <w:vAlign w:val="center"/>
          </w:tcPr>
          <w:p w:rsidRPr="00B7014C" w:rsidR="00883711" w:rsidP="00883711" w:rsidRDefault="00E87D0B" w14:paraId="796AE7E5" w14:textId="73538DFF">
            <w:pPr>
              <w:jc w:val="center"/>
              <w:rPr>
                <w:color w:val="000000"/>
                <w:sz w:val="22"/>
                <w:szCs w:val="22"/>
              </w:rPr>
            </w:pPr>
            <w:r w:rsidRPr="00B7014C">
              <w:rPr>
                <w:color w:val="000000"/>
                <w:sz w:val="22"/>
                <w:szCs w:val="22"/>
              </w:rPr>
              <w:t xml:space="preserve">3.7% </w:t>
            </w:r>
            <w:r w:rsidRPr="00B7014C" w:rsidR="00883711">
              <w:rPr>
                <w:color w:val="000000"/>
                <w:sz w:val="22"/>
                <w:szCs w:val="22"/>
              </w:rPr>
              <w:t>(3.6%)</w:t>
            </w:r>
          </w:p>
        </w:tc>
      </w:tr>
      <w:tr w:rsidRPr="00B7014C" w:rsidR="00883711" w:rsidTr="00777CAA" w14:paraId="4C38881D"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883711" w:rsidP="00883711" w:rsidRDefault="00883711" w14:paraId="0D1D8CB8" w14:textId="042A390B">
            <w:pPr>
              <w:rPr>
                <w:color w:val="000000"/>
                <w:sz w:val="22"/>
                <w:szCs w:val="22"/>
                <w:lang w:eastAsia="en-GB"/>
              </w:rPr>
            </w:pPr>
            <w:r w:rsidRPr="00B7014C">
              <w:rPr>
                <w:color w:val="000000"/>
                <w:sz w:val="22"/>
                <w:szCs w:val="22"/>
              </w:rPr>
              <w:t>Harrow on the Hill</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E87D0B" w14:paraId="41AC1C40" w14:textId="57C627A5">
            <w:pPr>
              <w:jc w:val="center"/>
              <w:rPr>
                <w:color w:val="000000"/>
                <w:sz w:val="22"/>
                <w:szCs w:val="22"/>
                <w:lang w:eastAsia="en-GB"/>
              </w:rPr>
            </w:pPr>
            <w:r w:rsidRPr="00B7014C">
              <w:rPr>
                <w:color w:val="000000"/>
                <w:sz w:val="22"/>
                <w:szCs w:val="22"/>
              </w:rPr>
              <w:t xml:space="preserve">772 </w:t>
            </w:r>
            <w:r w:rsidRPr="00B7014C" w:rsidR="00883711">
              <w:rPr>
                <w:color w:val="000000"/>
                <w:sz w:val="22"/>
                <w:szCs w:val="22"/>
              </w:rPr>
              <w:t>(828)</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E87D0B" w14:paraId="02C49FF1" w14:textId="57D323C2">
            <w:pPr>
              <w:jc w:val="center"/>
              <w:rPr>
                <w:color w:val="000000"/>
                <w:sz w:val="22"/>
                <w:szCs w:val="22"/>
                <w:lang w:eastAsia="en-GB"/>
              </w:rPr>
            </w:pPr>
            <w:r w:rsidRPr="00B7014C">
              <w:rPr>
                <w:color w:val="000000"/>
                <w:sz w:val="22"/>
                <w:szCs w:val="22"/>
              </w:rPr>
              <w:t xml:space="preserve">3.6% </w:t>
            </w:r>
            <w:r w:rsidRPr="00B7014C" w:rsidR="00883711">
              <w:rPr>
                <w:color w:val="000000"/>
                <w:sz w:val="22"/>
                <w:szCs w:val="22"/>
              </w:rPr>
              <w:t>(3.8%)</w:t>
            </w:r>
          </w:p>
        </w:tc>
      </w:tr>
      <w:tr w:rsidRPr="00B7014C" w:rsidR="00883711" w:rsidTr="00777CAA" w14:paraId="2499EF55"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883711" w:rsidP="00883711" w:rsidRDefault="00883711" w14:paraId="05C5CC9F" w14:textId="68527D1B">
            <w:pPr>
              <w:rPr>
                <w:color w:val="000000"/>
                <w:sz w:val="22"/>
                <w:szCs w:val="22"/>
                <w:lang w:eastAsia="en-GB"/>
              </w:rPr>
            </w:pPr>
            <w:r w:rsidRPr="00B7014C">
              <w:rPr>
                <w:color w:val="000000"/>
                <w:sz w:val="22"/>
                <w:szCs w:val="22"/>
              </w:rPr>
              <w:t>Canons</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E87D0B" w14:paraId="10479EBF" w14:textId="7473C7A5">
            <w:pPr>
              <w:jc w:val="center"/>
              <w:rPr>
                <w:color w:val="000000"/>
                <w:sz w:val="22"/>
                <w:szCs w:val="22"/>
                <w:lang w:eastAsia="en-GB"/>
              </w:rPr>
            </w:pPr>
            <w:r w:rsidRPr="00B7014C">
              <w:rPr>
                <w:color w:val="000000"/>
                <w:sz w:val="22"/>
                <w:szCs w:val="22"/>
              </w:rPr>
              <w:t xml:space="preserve">729 </w:t>
            </w:r>
            <w:r w:rsidRPr="00B7014C" w:rsidR="00883711">
              <w:rPr>
                <w:color w:val="000000"/>
                <w:sz w:val="22"/>
                <w:szCs w:val="22"/>
              </w:rPr>
              <w:t>(725)</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E87D0B" w14:paraId="26A1B498" w14:textId="7FFE0EE6">
            <w:pPr>
              <w:jc w:val="center"/>
              <w:rPr>
                <w:color w:val="000000"/>
                <w:sz w:val="22"/>
                <w:szCs w:val="22"/>
                <w:lang w:eastAsia="en-GB"/>
              </w:rPr>
            </w:pPr>
            <w:r w:rsidRPr="00B7014C">
              <w:rPr>
                <w:color w:val="000000"/>
                <w:sz w:val="22"/>
                <w:szCs w:val="22"/>
              </w:rPr>
              <w:t xml:space="preserve">3.4% </w:t>
            </w:r>
            <w:r w:rsidRPr="00B7014C" w:rsidR="00883711">
              <w:rPr>
                <w:color w:val="000000"/>
                <w:sz w:val="22"/>
                <w:szCs w:val="22"/>
              </w:rPr>
              <w:t>(3.3%)</w:t>
            </w:r>
          </w:p>
        </w:tc>
      </w:tr>
      <w:tr w:rsidRPr="00B7014C" w:rsidR="00883711" w:rsidTr="00777CAA" w14:paraId="09478017"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883711" w:rsidP="00883711" w:rsidRDefault="00883711" w14:paraId="407F47A0" w14:textId="5C11BE01">
            <w:pPr>
              <w:rPr>
                <w:color w:val="000000"/>
                <w:sz w:val="22"/>
                <w:szCs w:val="22"/>
                <w:lang w:eastAsia="en-GB"/>
              </w:rPr>
            </w:pPr>
            <w:r w:rsidRPr="00B7014C">
              <w:rPr>
                <w:color w:val="000000"/>
                <w:sz w:val="22"/>
                <w:szCs w:val="22"/>
              </w:rPr>
              <w:t>Hatch End</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3B0E4E" w14:paraId="6DEBA45B" w14:textId="1B74B3B6">
            <w:pPr>
              <w:jc w:val="center"/>
              <w:rPr>
                <w:color w:val="000000"/>
                <w:sz w:val="22"/>
                <w:szCs w:val="22"/>
                <w:lang w:eastAsia="en-GB"/>
              </w:rPr>
            </w:pPr>
            <w:r w:rsidRPr="00B7014C">
              <w:rPr>
                <w:color w:val="000000"/>
                <w:sz w:val="22"/>
                <w:szCs w:val="22"/>
              </w:rPr>
              <w:t xml:space="preserve">688 </w:t>
            </w:r>
            <w:r w:rsidRPr="00B7014C" w:rsidR="00883711">
              <w:rPr>
                <w:color w:val="000000"/>
                <w:sz w:val="22"/>
                <w:szCs w:val="22"/>
              </w:rPr>
              <w:t>(722)</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3B0E4E" w14:paraId="040D3218" w14:textId="1F86E655">
            <w:pPr>
              <w:jc w:val="center"/>
              <w:rPr>
                <w:color w:val="000000"/>
                <w:sz w:val="22"/>
                <w:szCs w:val="22"/>
                <w:lang w:eastAsia="en-GB"/>
              </w:rPr>
            </w:pPr>
            <w:r w:rsidRPr="00B7014C">
              <w:rPr>
                <w:color w:val="000000"/>
                <w:sz w:val="22"/>
                <w:szCs w:val="22"/>
              </w:rPr>
              <w:t xml:space="preserve">3.2% </w:t>
            </w:r>
            <w:r w:rsidRPr="00B7014C" w:rsidR="00883711">
              <w:rPr>
                <w:color w:val="000000"/>
                <w:sz w:val="22"/>
                <w:szCs w:val="22"/>
              </w:rPr>
              <w:t>(3.3%)</w:t>
            </w:r>
          </w:p>
        </w:tc>
      </w:tr>
      <w:tr w:rsidRPr="00B7014C" w:rsidR="00883711" w:rsidTr="00777CAA" w14:paraId="6E68F839"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883711" w:rsidP="00883711" w:rsidRDefault="00883711" w14:paraId="17099CC5" w14:textId="69D28534">
            <w:pPr>
              <w:rPr>
                <w:color w:val="000000"/>
                <w:sz w:val="22"/>
                <w:szCs w:val="22"/>
                <w:lang w:eastAsia="en-GB"/>
              </w:rPr>
            </w:pPr>
            <w:r w:rsidRPr="00B7014C">
              <w:rPr>
                <w:color w:val="000000"/>
                <w:sz w:val="22"/>
                <w:szCs w:val="22"/>
              </w:rPr>
              <w:t>Stanmore Park</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3B0E4E" w14:paraId="66CFDDB2" w14:textId="7CD873F7">
            <w:pPr>
              <w:jc w:val="center"/>
              <w:rPr>
                <w:color w:val="000000"/>
                <w:sz w:val="22"/>
                <w:szCs w:val="22"/>
                <w:lang w:eastAsia="en-GB"/>
              </w:rPr>
            </w:pPr>
            <w:r w:rsidRPr="00B7014C">
              <w:rPr>
                <w:color w:val="000000"/>
                <w:sz w:val="22"/>
                <w:szCs w:val="22"/>
              </w:rPr>
              <w:t xml:space="preserve">639 </w:t>
            </w:r>
            <w:r w:rsidRPr="00B7014C" w:rsidR="00883711">
              <w:rPr>
                <w:color w:val="000000"/>
                <w:sz w:val="22"/>
                <w:szCs w:val="22"/>
              </w:rPr>
              <w:t>(654)</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3B0E4E" w14:paraId="4F78F557" w14:textId="791E2F7A">
            <w:pPr>
              <w:jc w:val="center"/>
              <w:rPr>
                <w:color w:val="000000"/>
                <w:sz w:val="22"/>
                <w:szCs w:val="22"/>
                <w:lang w:eastAsia="en-GB"/>
              </w:rPr>
            </w:pPr>
            <w:r w:rsidRPr="00B7014C">
              <w:rPr>
                <w:color w:val="000000"/>
                <w:sz w:val="22"/>
                <w:szCs w:val="22"/>
              </w:rPr>
              <w:t xml:space="preserve">3.0% </w:t>
            </w:r>
            <w:r w:rsidRPr="00B7014C" w:rsidR="00883711">
              <w:rPr>
                <w:color w:val="000000"/>
                <w:sz w:val="22"/>
                <w:szCs w:val="22"/>
              </w:rPr>
              <w:t>(3.0%)</w:t>
            </w:r>
          </w:p>
        </w:tc>
      </w:tr>
      <w:tr w:rsidRPr="00B7014C" w:rsidR="00883711" w:rsidTr="00777CAA" w14:paraId="218B9AF7" w14:textId="77777777">
        <w:trPr>
          <w:trHeight w:val="284" w:hRule="exact"/>
        </w:trPr>
        <w:tc>
          <w:tcPr>
            <w:tcW w:w="0" w:type="auto"/>
            <w:tcBorders>
              <w:top w:val="nil"/>
              <w:left w:val="single" w:color="auto" w:sz="8" w:space="0"/>
              <w:bottom w:val="double" w:color="auto" w:sz="6" w:space="0"/>
              <w:right w:val="single" w:color="auto" w:sz="8" w:space="0"/>
            </w:tcBorders>
            <w:shd w:val="clear" w:color="auto" w:fill="auto"/>
            <w:noWrap/>
            <w:vAlign w:val="center"/>
            <w:hideMark/>
          </w:tcPr>
          <w:p w:rsidRPr="00B7014C" w:rsidR="00883711" w:rsidP="00883711" w:rsidRDefault="00883711" w14:paraId="4C0798F2" w14:textId="1A8AFA65">
            <w:pPr>
              <w:rPr>
                <w:color w:val="000000"/>
                <w:sz w:val="22"/>
                <w:szCs w:val="22"/>
                <w:lang w:eastAsia="en-GB"/>
              </w:rPr>
            </w:pPr>
            <w:r w:rsidRPr="00B7014C">
              <w:rPr>
                <w:color w:val="000000"/>
                <w:sz w:val="22"/>
                <w:szCs w:val="22"/>
              </w:rPr>
              <w:t>Pinner</w:t>
            </w:r>
          </w:p>
        </w:tc>
        <w:tc>
          <w:tcPr>
            <w:tcW w:w="0" w:type="auto"/>
            <w:tcBorders>
              <w:top w:val="nil"/>
              <w:left w:val="nil"/>
              <w:bottom w:val="double" w:color="auto" w:sz="6" w:space="0"/>
              <w:right w:val="single" w:color="auto" w:sz="8" w:space="0"/>
            </w:tcBorders>
            <w:shd w:val="clear" w:color="auto" w:fill="auto"/>
            <w:noWrap/>
            <w:vAlign w:val="center"/>
            <w:hideMark/>
          </w:tcPr>
          <w:p w:rsidRPr="00B7014C" w:rsidR="00883711" w:rsidP="00883711" w:rsidRDefault="00FE3C9C" w14:paraId="5A8347AA" w14:textId="6C27153B">
            <w:pPr>
              <w:jc w:val="center"/>
              <w:rPr>
                <w:color w:val="000000"/>
                <w:sz w:val="22"/>
                <w:szCs w:val="22"/>
                <w:lang w:eastAsia="en-GB"/>
              </w:rPr>
            </w:pPr>
            <w:r w:rsidRPr="00B7014C">
              <w:rPr>
                <w:color w:val="000000"/>
                <w:sz w:val="22"/>
                <w:szCs w:val="22"/>
              </w:rPr>
              <w:t xml:space="preserve">632 </w:t>
            </w:r>
            <w:r w:rsidRPr="00B7014C" w:rsidR="00883711">
              <w:rPr>
                <w:color w:val="000000"/>
                <w:sz w:val="22"/>
                <w:szCs w:val="22"/>
              </w:rPr>
              <w:t>(617)</w:t>
            </w:r>
          </w:p>
        </w:tc>
        <w:tc>
          <w:tcPr>
            <w:tcW w:w="0" w:type="auto"/>
            <w:tcBorders>
              <w:top w:val="nil"/>
              <w:left w:val="nil"/>
              <w:bottom w:val="double" w:color="auto" w:sz="6" w:space="0"/>
              <w:right w:val="single" w:color="auto" w:sz="8" w:space="0"/>
            </w:tcBorders>
            <w:shd w:val="clear" w:color="auto" w:fill="auto"/>
            <w:noWrap/>
            <w:vAlign w:val="center"/>
            <w:hideMark/>
          </w:tcPr>
          <w:p w:rsidRPr="00B7014C" w:rsidR="00883711" w:rsidP="00883711" w:rsidRDefault="00FE3C9C" w14:paraId="79613718" w14:textId="6F6A475B">
            <w:pPr>
              <w:jc w:val="center"/>
              <w:rPr>
                <w:color w:val="000000"/>
                <w:sz w:val="22"/>
                <w:szCs w:val="22"/>
                <w:lang w:eastAsia="en-GB"/>
              </w:rPr>
            </w:pPr>
            <w:r w:rsidRPr="00B7014C">
              <w:rPr>
                <w:color w:val="000000"/>
                <w:sz w:val="22"/>
                <w:szCs w:val="22"/>
              </w:rPr>
              <w:t xml:space="preserve">2.9% </w:t>
            </w:r>
            <w:r w:rsidRPr="00B7014C" w:rsidR="00883711">
              <w:rPr>
                <w:color w:val="000000"/>
                <w:sz w:val="22"/>
                <w:szCs w:val="22"/>
              </w:rPr>
              <w:t>(2.8%)</w:t>
            </w:r>
          </w:p>
        </w:tc>
      </w:tr>
      <w:tr w:rsidRPr="00B7014C" w:rsidR="00883711" w:rsidTr="00777CAA" w14:paraId="31A76B42"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883711" w:rsidP="00883711" w:rsidRDefault="00883711" w14:paraId="03C4CA54" w14:textId="79D289B9">
            <w:pPr>
              <w:rPr>
                <w:b/>
                <w:bCs/>
                <w:color w:val="000000"/>
                <w:sz w:val="22"/>
                <w:szCs w:val="22"/>
                <w:lang w:eastAsia="en-GB"/>
              </w:rPr>
            </w:pPr>
            <w:r w:rsidRPr="00B7014C">
              <w:rPr>
                <w:b/>
                <w:bCs/>
                <w:color w:val="000000"/>
                <w:sz w:val="22"/>
                <w:szCs w:val="22"/>
              </w:rPr>
              <w:t>Harrow wards total</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374EF4" w14:paraId="2F92AEC4" w14:textId="6CA68A0A">
            <w:pPr>
              <w:jc w:val="center"/>
              <w:rPr>
                <w:b/>
                <w:bCs/>
                <w:color w:val="000000"/>
                <w:sz w:val="22"/>
                <w:szCs w:val="22"/>
                <w:lang w:eastAsia="en-GB"/>
              </w:rPr>
            </w:pPr>
            <w:r w:rsidRPr="00B7014C">
              <w:rPr>
                <w:b/>
                <w:bCs/>
                <w:color w:val="000000"/>
                <w:sz w:val="22"/>
                <w:szCs w:val="22"/>
              </w:rPr>
              <w:t xml:space="preserve">19219 </w:t>
            </w:r>
            <w:r w:rsidRPr="00B7014C" w:rsidR="00883711">
              <w:rPr>
                <w:b/>
                <w:bCs/>
                <w:color w:val="000000"/>
                <w:sz w:val="22"/>
                <w:szCs w:val="22"/>
              </w:rPr>
              <w:t>(19415)</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9D3464" w14:paraId="29475C29" w14:textId="5D75BDC7">
            <w:pPr>
              <w:jc w:val="center"/>
              <w:rPr>
                <w:b/>
                <w:bCs/>
                <w:color w:val="000000"/>
                <w:sz w:val="22"/>
                <w:szCs w:val="22"/>
                <w:lang w:eastAsia="en-GB"/>
              </w:rPr>
            </w:pPr>
            <w:r w:rsidRPr="00B7014C">
              <w:rPr>
                <w:b/>
                <w:bCs/>
                <w:color w:val="000000"/>
                <w:sz w:val="22"/>
                <w:szCs w:val="22"/>
              </w:rPr>
              <w:t xml:space="preserve">89.5% </w:t>
            </w:r>
            <w:r w:rsidRPr="00B7014C" w:rsidR="00883711">
              <w:rPr>
                <w:b/>
                <w:bCs/>
                <w:color w:val="000000"/>
                <w:sz w:val="22"/>
                <w:szCs w:val="22"/>
              </w:rPr>
              <w:t>(89.4%)</w:t>
            </w:r>
          </w:p>
        </w:tc>
      </w:tr>
      <w:tr w:rsidRPr="00B7014C" w:rsidR="00883711" w:rsidTr="00777CAA" w14:paraId="09D9F9C5"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883711" w:rsidP="00883711" w:rsidRDefault="00883711" w14:paraId="7ECA9F0F" w14:textId="2EA646A9">
            <w:pPr>
              <w:rPr>
                <w:b/>
                <w:bCs/>
                <w:color w:val="000000"/>
                <w:sz w:val="22"/>
                <w:szCs w:val="22"/>
                <w:lang w:eastAsia="en-GB"/>
              </w:rPr>
            </w:pPr>
            <w:r w:rsidRPr="00B7014C">
              <w:rPr>
                <w:b/>
                <w:bCs/>
                <w:color w:val="000000"/>
                <w:sz w:val="22"/>
                <w:szCs w:val="22"/>
              </w:rPr>
              <w:t>Out of borough</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88296D" w14:paraId="3E450BB8" w14:textId="33F4C54F">
            <w:pPr>
              <w:jc w:val="center"/>
              <w:rPr>
                <w:b/>
                <w:bCs/>
                <w:color w:val="000000"/>
                <w:sz w:val="22"/>
                <w:szCs w:val="22"/>
                <w:lang w:eastAsia="en-GB"/>
              </w:rPr>
            </w:pPr>
            <w:r w:rsidRPr="00B7014C">
              <w:rPr>
                <w:b/>
                <w:bCs/>
                <w:color w:val="000000"/>
                <w:sz w:val="22"/>
                <w:szCs w:val="22"/>
              </w:rPr>
              <w:t xml:space="preserve">2261 </w:t>
            </w:r>
            <w:r w:rsidRPr="00B7014C" w:rsidR="00883711">
              <w:rPr>
                <w:b/>
                <w:bCs/>
                <w:color w:val="000000"/>
                <w:sz w:val="22"/>
                <w:szCs w:val="22"/>
              </w:rPr>
              <w:t>(2299)</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88296D" w14:paraId="79DF62B0" w14:textId="12B57744">
            <w:pPr>
              <w:jc w:val="center"/>
              <w:rPr>
                <w:b/>
                <w:bCs/>
                <w:color w:val="000000"/>
                <w:sz w:val="22"/>
                <w:szCs w:val="22"/>
                <w:lang w:eastAsia="en-GB"/>
              </w:rPr>
            </w:pPr>
            <w:r w:rsidRPr="00B7014C">
              <w:rPr>
                <w:b/>
                <w:bCs/>
                <w:color w:val="000000"/>
                <w:sz w:val="22"/>
                <w:szCs w:val="22"/>
              </w:rPr>
              <w:t xml:space="preserve">10.5% </w:t>
            </w:r>
            <w:r w:rsidRPr="00B7014C" w:rsidR="00883711">
              <w:rPr>
                <w:b/>
                <w:bCs/>
                <w:color w:val="000000"/>
                <w:sz w:val="22"/>
                <w:szCs w:val="22"/>
              </w:rPr>
              <w:t>(10.6%)</w:t>
            </w:r>
          </w:p>
        </w:tc>
      </w:tr>
      <w:tr w:rsidRPr="00B7014C" w:rsidR="00883711" w:rsidTr="00777CAA" w14:paraId="7AE26DA5" w14:textId="77777777">
        <w:trPr>
          <w:trHeight w:val="284" w:hRule="exact"/>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7014C" w:rsidR="00883711" w:rsidP="00883711" w:rsidRDefault="00883711" w14:paraId="0A4FA98D" w14:textId="596BB983">
            <w:pPr>
              <w:rPr>
                <w:b/>
                <w:bCs/>
                <w:color w:val="000000"/>
                <w:sz w:val="22"/>
                <w:szCs w:val="22"/>
                <w:lang w:eastAsia="en-GB"/>
              </w:rPr>
            </w:pPr>
            <w:r w:rsidRPr="00B7014C">
              <w:rPr>
                <w:b/>
                <w:bCs/>
                <w:color w:val="000000"/>
                <w:sz w:val="22"/>
                <w:szCs w:val="22"/>
              </w:rPr>
              <w:t>Grand total</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64512A" w14:paraId="2D28356E" w14:textId="7EB4B640">
            <w:pPr>
              <w:jc w:val="center"/>
              <w:rPr>
                <w:b/>
                <w:bCs/>
                <w:color w:val="000000"/>
                <w:sz w:val="22"/>
                <w:szCs w:val="22"/>
                <w:lang w:eastAsia="en-GB"/>
              </w:rPr>
            </w:pPr>
            <w:r w:rsidRPr="00B7014C">
              <w:rPr>
                <w:b/>
                <w:bCs/>
                <w:color w:val="000000"/>
                <w:sz w:val="22"/>
                <w:szCs w:val="22"/>
              </w:rPr>
              <w:t xml:space="preserve">21480 </w:t>
            </w:r>
            <w:r w:rsidRPr="00B7014C" w:rsidR="00883711">
              <w:rPr>
                <w:b/>
                <w:bCs/>
                <w:color w:val="000000"/>
                <w:sz w:val="22"/>
                <w:szCs w:val="22"/>
              </w:rPr>
              <w:t>(21714)</w:t>
            </w:r>
          </w:p>
        </w:tc>
        <w:tc>
          <w:tcPr>
            <w:tcW w:w="0" w:type="auto"/>
            <w:tcBorders>
              <w:top w:val="nil"/>
              <w:left w:val="nil"/>
              <w:bottom w:val="single" w:color="auto" w:sz="8" w:space="0"/>
              <w:right w:val="single" w:color="auto" w:sz="8" w:space="0"/>
            </w:tcBorders>
            <w:shd w:val="clear" w:color="auto" w:fill="auto"/>
            <w:noWrap/>
            <w:vAlign w:val="center"/>
            <w:hideMark/>
          </w:tcPr>
          <w:p w:rsidRPr="00B7014C" w:rsidR="00883711" w:rsidP="00883711" w:rsidRDefault="00883711" w14:paraId="7A968111" w14:textId="760360E0">
            <w:pPr>
              <w:jc w:val="center"/>
              <w:rPr>
                <w:b/>
                <w:bCs/>
                <w:color w:val="000000"/>
                <w:sz w:val="22"/>
                <w:szCs w:val="22"/>
                <w:lang w:eastAsia="en-GB"/>
              </w:rPr>
            </w:pPr>
            <w:r w:rsidRPr="00B7014C">
              <w:rPr>
                <w:b/>
                <w:bCs/>
                <w:color w:val="000000"/>
                <w:sz w:val="22"/>
                <w:szCs w:val="22"/>
              </w:rPr>
              <w:t>100% (100%)</w:t>
            </w:r>
          </w:p>
        </w:tc>
      </w:tr>
    </w:tbl>
    <w:p w:rsidRPr="00B7014C" w:rsidR="00A16979" w:rsidP="00A16979" w:rsidRDefault="00A16979" w14:paraId="199B12E3" w14:textId="470BB3D4">
      <w:pPr>
        <w:rPr>
          <w:sz w:val="22"/>
          <w:szCs w:val="22"/>
        </w:rPr>
      </w:pPr>
      <w:r w:rsidRPr="00B7014C">
        <w:rPr>
          <w:sz w:val="22"/>
          <w:szCs w:val="22"/>
        </w:rPr>
        <w:t>Source – January 20</w:t>
      </w:r>
      <w:r w:rsidRPr="00B7014C" w:rsidR="003779C4">
        <w:rPr>
          <w:sz w:val="22"/>
          <w:szCs w:val="22"/>
        </w:rPr>
        <w:t>20</w:t>
      </w:r>
      <w:r w:rsidRPr="00B7014C">
        <w:rPr>
          <w:sz w:val="22"/>
          <w:szCs w:val="22"/>
        </w:rPr>
        <w:t xml:space="preserve"> &amp; 20</w:t>
      </w:r>
      <w:r w:rsidRPr="00B7014C" w:rsidR="006C74F6">
        <w:rPr>
          <w:sz w:val="22"/>
          <w:szCs w:val="22"/>
        </w:rPr>
        <w:t>2</w:t>
      </w:r>
      <w:r w:rsidRPr="00B7014C" w:rsidR="003779C4">
        <w:rPr>
          <w:sz w:val="22"/>
          <w:szCs w:val="22"/>
        </w:rPr>
        <w:t>1</w:t>
      </w:r>
      <w:r w:rsidRPr="00B7014C">
        <w:rPr>
          <w:sz w:val="22"/>
          <w:szCs w:val="22"/>
        </w:rPr>
        <w:t xml:space="preserve"> School Census NB special schools not included</w:t>
      </w:r>
    </w:p>
    <w:p w:rsidRPr="00B7014C" w:rsidR="00A16979" w:rsidP="00A16979" w:rsidRDefault="00A16979" w14:paraId="6D304C94" w14:textId="77777777">
      <w:pPr>
        <w:rPr>
          <w:b/>
        </w:rPr>
      </w:pPr>
    </w:p>
    <w:p w:rsidRPr="00B7014C" w:rsidR="00A16979" w:rsidP="00A16979" w:rsidRDefault="00A16979" w14:paraId="70F6B9DB" w14:textId="77777777">
      <w:pPr>
        <w:rPr>
          <w:b/>
        </w:rPr>
      </w:pPr>
      <w:r w:rsidRPr="00B7014C">
        <w:rPr>
          <w:b/>
        </w:rPr>
        <w:t>Residence of Reception Pupils</w:t>
      </w:r>
    </w:p>
    <w:p w:rsidRPr="00B7014C" w:rsidR="00A16979" w:rsidP="00A16979" w:rsidRDefault="007E54E7" w14:paraId="4444FC92" w14:textId="6E2A35B4">
      <w:r w:rsidRPr="00B7014C">
        <w:t>As at January 2021 t</w:t>
      </w:r>
      <w:r w:rsidRPr="00B7014C" w:rsidR="00A16979">
        <w:t xml:space="preserve">here were </w:t>
      </w:r>
      <w:r w:rsidRPr="00B7014C" w:rsidR="00777CAA">
        <w:t>3,0</w:t>
      </w:r>
      <w:r w:rsidRPr="00B7014C" w:rsidR="00A23C31">
        <w:t>8</w:t>
      </w:r>
      <w:r w:rsidRPr="00B7014C" w:rsidR="004E4D7E">
        <w:t>9</w:t>
      </w:r>
      <w:r w:rsidRPr="00B7014C" w:rsidR="00777CAA">
        <w:t xml:space="preserve"> (</w:t>
      </w:r>
      <w:r w:rsidRPr="00B7014C" w:rsidR="004E4D7E">
        <w:t>3,0</w:t>
      </w:r>
      <w:r w:rsidRPr="00B7014C" w:rsidR="00A23C31">
        <w:t>79</w:t>
      </w:r>
      <w:r w:rsidRPr="00B7014C" w:rsidR="004E4D7E">
        <w:t xml:space="preserve"> </w:t>
      </w:r>
      <w:r w:rsidRPr="00B7014C" w:rsidR="00A16979">
        <w:t>in 20</w:t>
      </w:r>
      <w:r w:rsidRPr="00B7014C" w:rsidR="00A23C31">
        <w:t>20</w:t>
      </w:r>
      <w:r w:rsidRPr="00B7014C" w:rsidR="00A16979">
        <w:t>) pupils in the Reception year group</w:t>
      </w:r>
      <w:r w:rsidRPr="00B7014C" w:rsidR="00F37B42">
        <w:t xml:space="preserve"> and </w:t>
      </w:r>
      <w:r w:rsidRPr="00B7014C" w:rsidR="004E4D7E">
        <w:t>9</w:t>
      </w:r>
      <w:r w:rsidRPr="00B7014C" w:rsidR="00777CAA">
        <w:t>.</w:t>
      </w:r>
      <w:r w:rsidRPr="00B7014C" w:rsidR="00D5199E">
        <w:t>7</w:t>
      </w:r>
      <w:r w:rsidRPr="00B7014C" w:rsidR="00777CAA">
        <w:t>% (</w:t>
      </w:r>
      <w:r w:rsidRPr="00B7014C" w:rsidR="002B302C">
        <w:t>9</w:t>
      </w:r>
      <w:r w:rsidRPr="00B7014C" w:rsidR="004E4D7E">
        <w:t xml:space="preserve">.0% </w:t>
      </w:r>
      <w:r w:rsidRPr="00B7014C" w:rsidR="00A16979">
        <w:t>in 20</w:t>
      </w:r>
      <w:r w:rsidRPr="00B7014C" w:rsidR="002B302C">
        <w:t>20</w:t>
      </w:r>
      <w:r w:rsidRPr="00B7014C" w:rsidR="00A16979">
        <w:t xml:space="preserve">) of Harrow schools’ Reception pupils live outside the borough.  </w:t>
      </w:r>
      <w:r w:rsidRPr="00B7014C" w:rsidR="0026369C">
        <w:t xml:space="preserve">In January 2021 </w:t>
      </w:r>
      <w:proofErr w:type="spellStart"/>
      <w:r w:rsidRPr="00B7014C" w:rsidR="0026369C">
        <w:t>o</w:t>
      </w:r>
      <w:r w:rsidRPr="00B7014C" w:rsidR="00A7032B">
        <w:t>utborough</w:t>
      </w:r>
      <w:proofErr w:type="spellEnd"/>
      <w:r w:rsidRPr="00B7014C" w:rsidR="00A7032B">
        <w:t xml:space="preserve"> p</w:t>
      </w:r>
      <w:r w:rsidRPr="00B7014C" w:rsidR="00A16979">
        <w:t xml:space="preserve">upils mainly </w:t>
      </w:r>
      <w:r w:rsidRPr="00B7014C" w:rsidR="00A7032B">
        <w:t xml:space="preserve">live in </w:t>
      </w:r>
      <w:r w:rsidRPr="00B7014C" w:rsidR="00F37B42">
        <w:t>Harrow’s</w:t>
      </w:r>
      <w:r w:rsidRPr="00B7014C" w:rsidR="00A16979">
        <w:t xml:space="preserve"> neighbouring boroughs: Brent </w:t>
      </w:r>
      <w:r w:rsidRPr="00B7014C" w:rsidR="00EE2E36">
        <w:t xml:space="preserve">111 </w:t>
      </w:r>
      <w:r w:rsidRPr="00B7014C" w:rsidR="00A16979">
        <w:t>(</w:t>
      </w:r>
      <w:r w:rsidRPr="00B7014C" w:rsidR="00777CAA">
        <w:t>10</w:t>
      </w:r>
      <w:r w:rsidRPr="00B7014C" w:rsidR="004E4D7E">
        <w:t>8</w:t>
      </w:r>
      <w:r w:rsidRPr="00B7014C" w:rsidR="00EE2E36">
        <w:t xml:space="preserve"> in 2020</w:t>
      </w:r>
      <w:r w:rsidRPr="00B7014C" w:rsidR="00A16979">
        <w:t xml:space="preserve">), Hillingdon </w:t>
      </w:r>
      <w:r w:rsidRPr="00B7014C" w:rsidR="00AF71AB">
        <w:t xml:space="preserve">67 </w:t>
      </w:r>
      <w:r w:rsidRPr="00B7014C" w:rsidR="00A16979">
        <w:t>(</w:t>
      </w:r>
      <w:r w:rsidRPr="00B7014C" w:rsidR="004E4D7E">
        <w:t>6</w:t>
      </w:r>
      <w:r w:rsidRPr="00B7014C" w:rsidR="00777CAA">
        <w:t>7</w:t>
      </w:r>
      <w:r w:rsidRPr="00B7014C" w:rsidR="00AF71AB">
        <w:t xml:space="preserve"> in 2020</w:t>
      </w:r>
      <w:r w:rsidRPr="00B7014C" w:rsidR="00A16979">
        <w:t xml:space="preserve">), Ealing </w:t>
      </w:r>
      <w:r w:rsidRPr="00B7014C" w:rsidR="00AF71AB">
        <w:t xml:space="preserve">36 </w:t>
      </w:r>
      <w:r w:rsidRPr="00B7014C" w:rsidR="00A16979">
        <w:t>(3</w:t>
      </w:r>
      <w:r w:rsidRPr="00B7014C" w:rsidR="004E4D7E">
        <w:t>3</w:t>
      </w:r>
      <w:r w:rsidRPr="00B7014C" w:rsidR="00AF71AB">
        <w:t xml:space="preserve"> in 2020</w:t>
      </w:r>
      <w:r w:rsidRPr="00B7014C" w:rsidR="00A16979">
        <w:t xml:space="preserve">) and Barnet </w:t>
      </w:r>
      <w:r w:rsidRPr="00B7014C" w:rsidR="00AF71AB">
        <w:t xml:space="preserve">35 </w:t>
      </w:r>
      <w:r w:rsidRPr="00B7014C" w:rsidR="00A16979">
        <w:t>(</w:t>
      </w:r>
      <w:r w:rsidRPr="00B7014C" w:rsidR="00777CAA">
        <w:t>27</w:t>
      </w:r>
      <w:r w:rsidRPr="00B7014C" w:rsidR="00AF71AB">
        <w:t xml:space="preserve"> in 2020</w:t>
      </w:r>
      <w:r w:rsidRPr="00B7014C" w:rsidR="00A16979">
        <w:t xml:space="preserve">), Other </w:t>
      </w:r>
      <w:proofErr w:type="spellStart"/>
      <w:r w:rsidRPr="00B7014C" w:rsidR="00A16979">
        <w:t>LAs</w:t>
      </w:r>
      <w:proofErr w:type="spellEnd"/>
      <w:r w:rsidRPr="00B7014C" w:rsidR="00A16979">
        <w:t xml:space="preserve"> </w:t>
      </w:r>
      <w:r w:rsidRPr="00B7014C" w:rsidR="00A94809">
        <w:t xml:space="preserve">50 </w:t>
      </w:r>
      <w:r w:rsidRPr="00B7014C" w:rsidR="00A16979">
        <w:t>(</w:t>
      </w:r>
      <w:r w:rsidRPr="00B7014C" w:rsidR="004E4D7E">
        <w:t>41</w:t>
      </w:r>
      <w:r w:rsidRPr="00B7014C" w:rsidR="00A94809">
        <w:t xml:space="preserve"> in 2020</w:t>
      </w:r>
      <w:r w:rsidRPr="00B7014C" w:rsidR="00A16979">
        <w:t>).</w:t>
      </w:r>
    </w:p>
    <w:p w:rsidRPr="00B7014C" w:rsidR="00A16979" w:rsidP="00A16979" w:rsidRDefault="00A16979" w14:paraId="259A4A2D" w14:textId="77777777"/>
    <w:p w:rsidRPr="00B7014C" w:rsidR="00A16979" w:rsidP="00A16979" w:rsidRDefault="00A16979" w14:paraId="2B1C71B9" w14:textId="77777777">
      <w:pPr>
        <w:rPr>
          <w:b/>
        </w:rPr>
      </w:pPr>
      <w:r w:rsidRPr="00B7014C">
        <w:rPr>
          <w:b/>
        </w:rPr>
        <w:t>DfE’s Primary Cross Border Movement</w:t>
      </w:r>
    </w:p>
    <w:p w:rsidRPr="00B7014C" w:rsidR="00A16979" w:rsidP="00A16979" w:rsidRDefault="00A16979" w14:paraId="7D4383B8" w14:textId="6ACA62B3">
      <w:r w:rsidRPr="00B7014C">
        <w:t>In January 20</w:t>
      </w:r>
      <w:r w:rsidRPr="00B7014C" w:rsidR="009A622D">
        <w:t>20</w:t>
      </w:r>
      <w:r w:rsidRPr="00B7014C">
        <w:t xml:space="preserve">, </w:t>
      </w:r>
      <w:r w:rsidRPr="00B7014C" w:rsidR="00C12E14">
        <w:t>6.5%</w:t>
      </w:r>
      <w:r w:rsidRPr="00B7014C" w:rsidR="008D5446">
        <w:t xml:space="preserve"> (</w:t>
      </w:r>
      <w:r w:rsidRPr="00B7014C" w:rsidR="006D5EED">
        <w:t>7.</w:t>
      </w:r>
      <w:r w:rsidRPr="00B7014C" w:rsidR="009A622D">
        <w:t>6</w:t>
      </w:r>
      <w:r w:rsidRPr="00B7014C" w:rsidR="006D5EED">
        <w:t xml:space="preserve">% </w:t>
      </w:r>
      <w:r w:rsidRPr="00B7014C">
        <w:t>in January 201</w:t>
      </w:r>
      <w:r w:rsidRPr="00B7014C" w:rsidR="009A622D">
        <w:t>9</w:t>
      </w:r>
      <w:r w:rsidRPr="00B7014C">
        <w:t xml:space="preserve">) of Harrow’s resident Reception age children attended schools maintained by other local authorities.  The net difference between imports and exports as a </w:t>
      </w:r>
      <w:r w:rsidRPr="00B7014C" w:rsidR="006C74F6">
        <w:t>percentage</w:t>
      </w:r>
      <w:r w:rsidRPr="00B7014C">
        <w:t xml:space="preserve"> of the school population </w:t>
      </w:r>
      <w:r w:rsidRPr="00B7014C" w:rsidR="002D68B1">
        <w:t>in Reception</w:t>
      </w:r>
      <w:r w:rsidRPr="00B7014C">
        <w:t xml:space="preserve"> for Harrow </w:t>
      </w:r>
      <w:r w:rsidRPr="00B7014C" w:rsidR="001C7A2D">
        <w:t xml:space="preserve">in 2019/20 is 0%, as 6.5% of other local </w:t>
      </w:r>
      <w:proofErr w:type="gramStart"/>
      <w:r w:rsidRPr="00B7014C" w:rsidR="001C7A2D">
        <w:t>authorities</w:t>
      </w:r>
      <w:proofErr w:type="gramEnd"/>
      <w:r w:rsidRPr="00B7014C" w:rsidR="001C7A2D">
        <w:t xml:space="preserve"> children attended schools in Harrow.</w:t>
      </w:r>
      <w:r w:rsidRPr="00B7014C" w:rsidDel="00FD2A62">
        <w:t xml:space="preserve"> </w:t>
      </w:r>
    </w:p>
    <w:p w:rsidRPr="00B7014C" w:rsidR="00A16979" w:rsidP="00A16979" w:rsidRDefault="00A16979" w14:paraId="22212EEB" w14:textId="77777777"/>
    <w:p w:rsidRPr="00B7014C" w:rsidR="00A16979" w:rsidP="00A16979" w:rsidRDefault="00A16979" w14:paraId="6E11B79F" w14:textId="7DA543F1">
      <w:r w:rsidRPr="00B7014C">
        <w:t>The numbers of primary age pupils exported and imported into Harrow have remained similar and balanced over the last 4 years; however as at January 20</w:t>
      </w:r>
      <w:r w:rsidRPr="00B7014C" w:rsidR="00643FA9">
        <w:t>20</w:t>
      </w:r>
      <w:r w:rsidRPr="00B7014C">
        <w:t xml:space="preserve"> Harrow imported </w:t>
      </w:r>
      <w:r w:rsidRPr="00B7014C" w:rsidR="008E5C51">
        <w:t>5</w:t>
      </w:r>
      <w:r w:rsidRPr="00B7014C" w:rsidR="006719BE">
        <w:t>4</w:t>
      </w:r>
      <w:r w:rsidRPr="00B7014C" w:rsidR="008E5C51">
        <w:t>1</w:t>
      </w:r>
      <w:r w:rsidRPr="00B7014C" w:rsidR="008D5446">
        <w:t xml:space="preserve"> (</w:t>
      </w:r>
      <w:r w:rsidRPr="00B7014C" w:rsidR="00643FA9">
        <w:t>501</w:t>
      </w:r>
      <w:r w:rsidRPr="00B7014C">
        <w:t xml:space="preserve"> in January 201</w:t>
      </w:r>
      <w:r w:rsidRPr="00B7014C" w:rsidR="00643FA9">
        <w:t>9</w:t>
      </w:r>
      <w:r w:rsidRPr="00B7014C">
        <w:t xml:space="preserve">) more children into its schools than it exported into other borough’s schools.  </w:t>
      </w:r>
    </w:p>
    <w:p w:rsidRPr="00B7014C" w:rsidR="00A16979" w:rsidP="00A16979" w:rsidRDefault="00A16979" w14:paraId="38BE4F31" w14:textId="77777777"/>
    <w:p w:rsidRPr="00B7014C" w:rsidR="00A16979" w:rsidP="00A16979" w:rsidRDefault="00A16979" w14:paraId="77F0CB29" w14:textId="5E43DA3C">
      <w:r w:rsidRPr="00B7014C">
        <w:t>T</w:t>
      </w:r>
      <w:r w:rsidRPr="00B7014C" w:rsidR="00404743">
        <w:t>able 4</w:t>
      </w:r>
      <w:r w:rsidRPr="00B7014C">
        <w:t xml:space="preserve"> below shows where Harrow’s resident pupils attend primary schools outside of the borough over the last </w:t>
      </w:r>
      <w:r w:rsidRPr="00B7014C" w:rsidR="008C0B8B">
        <w:t>4</w:t>
      </w:r>
      <w:r w:rsidRPr="00B7014C">
        <w:t xml:space="preserve"> years.  The number of pupils leaving Harrow to attend schools in other boroughs </w:t>
      </w:r>
      <w:r w:rsidRPr="00B7014C" w:rsidR="00F00F83">
        <w:t xml:space="preserve">has continued </w:t>
      </w:r>
      <w:r w:rsidRPr="00B7014C">
        <w:t>dropp</w:t>
      </w:r>
      <w:r w:rsidRPr="00B7014C" w:rsidR="00F00F83">
        <w:t xml:space="preserve">ing over the last four years, </w:t>
      </w:r>
      <w:r w:rsidRPr="00B7014C">
        <w:t xml:space="preserve">from 1,932 in January 2016 </w:t>
      </w:r>
      <w:r w:rsidRPr="00B7014C" w:rsidR="005D46A8">
        <w:t>to</w:t>
      </w:r>
      <w:r w:rsidRPr="00B7014C" w:rsidR="008E5C51">
        <w:t xml:space="preserve"> 1,7</w:t>
      </w:r>
      <w:r w:rsidRPr="00B7014C" w:rsidR="00F00F83">
        <w:t>1</w:t>
      </w:r>
      <w:r w:rsidRPr="00B7014C" w:rsidR="008E5C51">
        <w:t>5</w:t>
      </w:r>
      <w:r w:rsidRPr="00B7014C" w:rsidR="005D46A8">
        <w:t xml:space="preserve"> in January 20</w:t>
      </w:r>
      <w:r w:rsidRPr="00B7014C" w:rsidR="00F00F83">
        <w:t>20</w:t>
      </w:r>
      <w:r w:rsidRPr="00B7014C" w:rsidR="008D5446">
        <w:t>.</w:t>
      </w:r>
    </w:p>
    <w:p w:rsidRPr="00B7014C" w:rsidR="00A16979" w:rsidP="00A16979" w:rsidRDefault="00A16979" w14:paraId="6BAEE538" w14:textId="77777777"/>
    <w:p w:rsidRPr="00B7014C" w:rsidR="00A16979" w:rsidP="00A16979" w:rsidRDefault="00A16979" w14:paraId="2F9C82F7" w14:textId="77777777"/>
    <w:p w:rsidRPr="00B7014C" w:rsidR="00A16979" w:rsidP="00A16979" w:rsidRDefault="00A16979" w14:paraId="22590DAE" w14:textId="77777777"/>
    <w:p w:rsidRPr="00B7014C" w:rsidR="00A16979" w:rsidP="00A16979" w:rsidRDefault="00A16979" w14:paraId="4D6E9EC8" w14:textId="58771AA5">
      <w:r w:rsidRPr="00B7014C">
        <w:br w:type="page"/>
      </w:r>
      <w:r w:rsidRPr="00B7014C" w:rsidR="00FC14D1">
        <w:lastRenderedPageBreak/>
        <w:t>Table 4</w:t>
      </w:r>
      <w:r w:rsidRPr="00B7014C">
        <w:t>: Harrow’s resident pupils attending primary schools in other boroughs</w:t>
      </w:r>
    </w:p>
    <w:tbl>
      <w:tblPr>
        <w:tblW w:w="3978" w:type="pct"/>
        <w:tblLook w:val="04A0" w:firstRow="1" w:lastRow="0" w:firstColumn="1" w:lastColumn="0" w:noHBand="0" w:noVBand="1"/>
      </w:tblPr>
      <w:tblGrid>
        <w:gridCol w:w="4298"/>
        <w:gridCol w:w="951"/>
        <w:gridCol w:w="951"/>
        <w:gridCol w:w="951"/>
        <w:gridCol w:w="951"/>
      </w:tblGrid>
      <w:tr w:rsidRPr="00B7014C" w:rsidR="00584D93" w:rsidTr="00584D93" w14:paraId="21AB503A" w14:textId="3D56C164">
        <w:trPr>
          <w:trHeight w:val="330"/>
        </w:trPr>
        <w:tc>
          <w:tcPr>
            <w:tcW w:w="2652" w:type="pct"/>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B7014C" w:rsidR="00584D93" w:rsidP="008E5C51" w:rsidRDefault="00584D93" w14:paraId="26A14F56" w14:textId="77777777">
            <w:pPr>
              <w:rPr>
                <w:b/>
                <w:bCs/>
                <w:color w:val="000000"/>
                <w:sz w:val="22"/>
                <w:szCs w:val="22"/>
                <w:lang w:eastAsia="en-GB"/>
              </w:rPr>
            </w:pPr>
            <w:r w:rsidRPr="00B7014C">
              <w:rPr>
                <w:b/>
                <w:bCs/>
                <w:color w:val="000000"/>
                <w:sz w:val="22"/>
                <w:szCs w:val="22"/>
                <w:lang w:eastAsia="en-GB"/>
              </w:rPr>
              <w:t>Primary School LA</w:t>
            </w:r>
          </w:p>
        </w:tc>
        <w:tc>
          <w:tcPr>
            <w:tcW w:w="2348" w:type="pct"/>
            <w:gridSpan w:val="4"/>
            <w:tcBorders>
              <w:top w:val="single" w:color="auto" w:sz="8" w:space="0"/>
              <w:left w:val="nil"/>
              <w:bottom w:val="single" w:color="auto" w:sz="8" w:space="0"/>
              <w:right w:val="single" w:color="000000" w:sz="8" w:space="0"/>
            </w:tcBorders>
            <w:shd w:val="clear" w:color="auto" w:fill="auto"/>
            <w:vAlign w:val="center"/>
            <w:hideMark/>
          </w:tcPr>
          <w:p w:rsidRPr="00B7014C" w:rsidR="00584D93" w:rsidP="008E5C51" w:rsidRDefault="00584D93" w14:paraId="4445EADA" w14:textId="67F58D52">
            <w:pPr>
              <w:jc w:val="center"/>
              <w:rPr>
                <w:b/>
                <w:bCs/>
                <w:color w:val="000000"/>
                <w:sz w:val="22"/>
                <w:szCs w:val="22"/>
                <w:lang w:eastAsia="en-GB"/>
              </w:rPr>
            </w:pPr>
            <w:r w:rsidRPr="00B7014C">
              <w:rPr>
                <w:b/>
                <w:bCs/>
                <w:color w:val="000000"/>
                <w:sz w:val="22"/>
                <w:szCs w:val="22"/>
                <w:lang w:eastAsia="en-GB"/>
              </w:rPr>
              <w:t>Pupil residents of Harrow</w:t>
            </w:r>
          </w:p>
        </w:tc>
      </w:tr>
      <w:tr w:rsidRPr="00B7014C" w:rsidR="00584D93" w:rsidTr="001C4BFB" w14:paraId="78E53FA3" w14:textId="108B81BA">
        <w:trPr>
          <w:trHeight w:val="315"/>
        </w:trPr>
        <w:tc>
          <w:tcPr>
            <w:tcW w:w="2652" w:type="pct"/>
            <w:vMerge/>
            <w:tcBorders>
              <w:top w:val="single" w:color="auto" w:sz="8" w:space="0"/>
              <w:left w:val="single" w:color="auto" w:sz="8" w:space="0"/>
              <w:bottom w:val="single" w:color="000000" w:sz="8" w:space="0"/>
              <w:right w:val="single" w:color="auto" w:sz="8" w:space="0"/>
            </w:tcBorders>
            <w:vAlign w:val="center"/>
            <w:hideMark/>
          </w:tcPr>
          <w:p w:rsidRPr="00B7014C" w:rsidR="00584D93" w:rsidP="008E5C51" w:rsidRDefault="00584D93" w14:paraId="443183E8" w14:textId="77777777">
            <w:pPr>
              <w:rPr>
                <w:b/>
                <w:bCs/>
                <w:color w:val="000000"/>
                <w:sz w:val="22"/>
                <w:szCs w:val="22"/>
                <w:lang w:eastAsia="en-GB"/>
              </w:rPr>
            </w:pP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3A9E3605" w14:textId="77777777">
            <w:pPr>
              <w:jc w:val="center"/>
              <w:rPr>
                <w:b/>
                <w:bCs/>
                <w:color w:val="000000"/>
                <w:sz w:val="22"/>
                <w:szCs w:val="22"/>
                <w:lang w:eastAsia="en-GB"/>
              </w:rPr>
            </w:pPr>
            <w:r w:rsidRPr="00B7014C">
              <w:rPr>
                <w:b/>
                <w:bCs/>
                <w:color w:val="000000"/>
                <w:sz w:val="22"/>
                <w:szCs w:val="22"/>
                <w:lang w:eastAsia="en-GB"/>
              </w:rPr>
              <w:t>Jan-17</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628B3661" w14:textId="77777777">
            <w:pPr>
              <w:jc w:val="center"/>
              <w:rPr>
                <w:b/>
                <w:bCs/>
                <w:color w:val="000000"/>
                <w:sz w:val="22"/>
                <w:szCs w:val="22"/>
                <w:lang w:eastAsia="en-GB"/>
              </w:rPr>
            </w:pPr>
            <w:r w:rsidRPr="00B7014C">
              <w:rPr>
                <w:b/>
                <w:bCs/>
                <w:color w:val="000000"/>
                <w:sz w:val="22"/>
                <w:szCs w:val="22"/>
                <w:lang w:eastAsia="en-GB"/>
              </w:rPr>
              <w:t>Jan-18</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11B21BE8" w14:textId="77777777">
            <w:pPr>
              <w:jc w:val="center"/>
              <w:rPr>
                <w:b/>
                <w:bCs/>
                <w:color w:val="000000"/>
                <w:sz w:val="22"/>
                <w:szCs w:val="22"/>
                <w:lang w:eastAsia="en-GB"/>
              </w:rPr>
            </w:pPr>
            <w:r w:rsidRPr="00B7014C">
              <w:rPr>
                <w:b/>
                <w:bCs/>
                <w:color w:val="000000"/>
                <w:sz w:val="22"/>
                <w:szCs w:val="22"/>
                <w:lang w:eastAsia="en-GB"/>
              </w:rPr>
              <w:t>Jan-19</w:t>
            </w:r>
          </w:p>
        </w:tc>
        <w:tc>
          <w:tcPr>
            <w:tcW w:w="587" w:type="pct"/>
            <w:tcBorders>
              <w:top w:val="nil"/>
              <w:left w:val="nil"/>
              <w:bottom w:val="single" w:color="auto" w:sz="8" w:space="0"/>
              <w:right w:val="single" w:color="auto" w:sz="8" w:space="0"/>
            </w:tcBorders>
            <w:vAlign w:val="center"/>
          </w:tcPr>
          <w:p w:rsidRPr="00B7014C" w:rsidR="00584D93" w:rsidP="001C4BFB" w:rsidRDefault="001C4BFB" w14:paraId="52FC6AF3" w14:textId="5EB182C8">
            <w:pPr>
              <w:jc w:val="center"/>
              <w:rPr>
                <w:b/>
                <w:bCs/>
                <w:color w:val="000000"/>
                <w:sz w:val="22"/>
                <w:szCs w:val="22"/>
                <w:lang w:eastAsia="en-GB"/>
              </w:rPr>
            </w:pPr>
            <w:r w:rsidRPr="00B7014C">
              <w:rPr>
                <w:b/>
                <w:bCs/>
                <w:color w:val="000000"/>
                <w:sz w:val="22"/>
                <w:szCs w:val="22"/>
                <w:lang w:eastAsia="en-GB"/>
              </w:rPr>
              <w:t>Jan-20</w:t>
            </w:r>
          </w:p>
        </w:tc>
      </w:tr>
      <w:tr w:rsidRPr="00B7014C" w:rsidR="00584D93" w:rsidTr="001C4BFB" w14:paraId="28CA6AB3" w14:textId="36437E0C">
        <w:trPr>
          <w:trHeight w:val="300"/>
        </w:trPr>
        <w:tc>
          <w:tcPr>
            <w:tcW w:w="2652" w:type="pct"/>
            <w:tcBorders>
              <w:top w:val="nil"/>
              <w:left w:val="single" w:color="auto" w:sz="8" w:space="0"/>
              <w:bottom w:val="single" w:color="auto" w:sz="8" w:space="0"/>
              <w:right w:val="single" w:color="auto" w:sz="8" w:space="0"/>
            </w:tcBorders>
            <w:shd w:val="clear" w:color="auto" w:fill="auto"/>
            <w:noWrap/>
            <w:vAlign w:val="center"/>
            <w:hideMark/>
          </w:tcPr>
          <w:p w:rsidRPr="00B7014C" w:rsidR="00584D93" w:rsidP="008E5C51" w:rsidRDefault="00584D93" w14:paraId="0DC73E70" w14:textId="77777777">
            <w:pPr>
              <w:rPr>
                <w:color w:val="000000"/>
                <w:sz w:val="22"/>
                <w:szCs w:val="22"/>
                <w:lang w:eastAsia="en-GB"/>
              </w:rPr>
            </w:pPr>
            <w:r w:rsidRPr="00B7014C">
              <w:rPr>
                <w:color w:val="000000"/>
                <w:sz w:val="22"/>
                <w:szCs w:val="22"/>
                <w:lang w:eastAsia="en-GB"/>
              </w:rPr>
              <w:t>Primary Schools in Hillingdon</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2FB309A8" w14:textId="77777777">
            <w:pPr>
              <w:jc w:val="center"/>
              <w:rPr>
                <w:color w:val="000000"/>
                <w:sz w:val="22"/>
                <w:szCs w:val="22"/>
                <w:lang w:eastAsia="en-GB"/>
              </w:rPr>
            </w:pPr>
            <w:r w:rsidRPr="00B7014C">
              <w:rPr>
                <w:color w:val="000000"/>
                <w:sz w:val="22"/>
                <w:szCs w:val="22"/>
                <w:lang w:eastAsia="en-GB"/>
              </w:rPr>
              <w:t>659</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02864A00" w14:textId="77777777">
            <w:pPr>
              <w:jc w:val="center"/>
              <w:rPr>
                <w:color w:val="000000"/>
                <w:sz w:val="22"/>
                <w:szCs w:val="22"/>
                <w:lang w:eastAsia="en-GB"/>
              </w:rPr>
            </w:pPr>
            <w:r w:rsidRPr="00B7014C">
              <w:rPr>
                <w:color w:val="000000"/>
                <w:sz w:val="22"/>
                <w:szCs w:val="22"/>
                <w:lang w:eastAsia="en-GB"/>
              </w:rPr>
              <w:t>621</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74D19EEA" w14:textId="77777777">
            <w:pPr>
              <w:jc w:val="center"/>
              <w:rPr>
                <w:color w:val="000000"/>
                <w:sz w:val="22"/>
                <w:szCs w:val="22"/>
                <w:lang w:eastAsia="en-GB"/>
              </w:rPr>
            </w:pPr>
            <w:r w:rsidRPr="00B7014C">
              <w:rPr>
                <w:color w:val="000000"/>
                <w:sz w:val="22"/>
                <w:szCs w:val="22"/>
                <w:lang w:eastAsia="en-GB"/>
              </w:rPr>
              <w:t>567</w:t>
            </w:r>
          </w:p>
        </w:tc>
        <w:tc>
          <w:tcPr>
            <w:tcW w:w="587" w:type="pct"/>
            <w:tcBorders>
              <w:top w:val="nil"/>
              <w:left w:val="nil"/>
              <w:bottom w:val="single" w:color="auto" w:sz="8" w:space="0"/>
              <w:right w:val="single" w:color="auto" w:sz="8" w:space="0"/>
            </w:tcBorders>
            <w:vAlign w:val="center"/>
          </w:tcPr>
          <w:p w:rsidRPr="00B7014C" w:rsidR="00584D93" w:rsidP="001C4BFB" w:rsidRDefault="00883D7E" w14:paraId="56476767" w14:textId="338B2255">
            <w:pPr>
              <w:jc w:val="center"/>
              <w:rPr>
                <w:color w:val="000000"/>
                <w:sz w:val="22"/>
                <w:szCs w:val="22"/>
                <w:lang w:eastAsia="en-GB"/>
              </w:rPr>
            </w:pPr>
            <w:r w:rsidRPr="00B7014C">
              <w:rPr>
                <w:color w:val="000000"/>
                <w:sz w:val="22"/>
                <w:szCs w:val="22"/>
                <w:lang w:eastAsia="en-GB"/>
              </w:rPr>
              <w:t>538</w:t>
            </w:r>
          </w:p>
        </w:tc>
      </w:tr>
      <w:tr w:rsidRPr="00B7014C" w:rsidR="00584D93" w:rsidTr="001C4BFB" w14:paraId="3E97C389" w14:textId="110F239F">
        <w:trPr>
          <w:trHeight w:val="300"/>
        </w:trPr>
        <w:tc>
          <w:tcPr>
            <w:tcW w:w="2652" w:type="pct"/>
            <w:tcBorders>
              <w:top w:val="nil"/>
              <w:left w:val="single" w:color="auto" w:sz="8" w:space="0"/>
              <w:bottom w:val="single" w:color="auto" w:sz="8" w:space="0"/>
              <w:right w:val="single" w:color="auto" w:sz="8" w:space="0"/>
            </w:tcBorders>
            <w:shd w:val="clear" w:color="auto" w:fill="auto"/>
            <w:noWrap/>
            <w:vAlign w:val="center"/>
            <w:hideMark/>
          </w:tcPr>
          <w:p w:rsidRPr="00B7014C" w:rsidR="00584D93" w:rsidP="008E5C51" w:rsidRDefault="00584D93" w14:paraId="786C30D0" w14:textId="77777777">
            <w:pPr>
              <w:rPr>
                <w:color w:val="000000"/>
                <w:sz w:val="22"/>
                <w:szCs w:val="22"/>
                <w:lang w:eastAsia="en-GB"/>
              </w:rPr>
            </w:pPr>
            <w:r w:rsidRPr="00B7014C">
              <w:rPr>
                <w:color w:val="000000"/>
                <w:sz w:val="22"/>
                <w:szCs w:val="22"/>
                <w:lang w:eastAsia="en-GB"/>
              </w:rPr>
              <w:t>Primary Schools in Brent</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699988F5" w14:textId="77777777">
            <w:pPr>
              <w:jc w:val="center"/>
              <w:rPr>
                <w:color w:val="000000"/>
                <w:sz w:val="22"/>
                <w:szCs w:val="22"/>
                <w:lang w:eastAsia="en-GB"/>
              </w:rPr>
            </w:pPr>
            <w:r w:rsidRPr="00B7014C">
              <w:rPr>
                <w:color w:val="000000"/>
                <w:sz w:val="22"/>
                <w:szCs w:val="22"/>
                <w:lang w:eastAsia="en-GB"/>
              </w:rPr>
              <w:t>521</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42280056" w14:textId="77777777">
            <w:pPr>
              <w:jc w:val="center"/>
              <w:rPr>
                <w:color w:val="000000"/>
                <w:sz w:val="22"/>
                <w:szCs w:val="22"/>
                <w:lang w:eastAsia="en-GB"/>
              </w:rPr>
            </w:pPr>
            <w:r w:rsidRPr="00B7014C">
              <w:rPr>
                <w:color w:val="000000"/>
                <w:sz w:val="22"/>
                <w:szCs w:val="22"/>
                <w:lang w:eastAsia="en-GB"/>
              </w:rPr>
              <w:t>514</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13A1BB36" w14:textId="77777777">
            <w:pPr>
              <w:jc w:val="center"/>
              <w:rPr>
                <w:color w:val="000000"/>
                <w:sz w:val="22"/>
                <w:szCs w:val="22"/>
                <w:lang w:eastAsia="en-GB"/>
              </w:rPr>
            </w:pPr>
            <w:r w:rsidRPr="00B7014C">
              <w:rPr>
                <w:color w:val="000000"/>
                <w:sz w:val="22"/>
                <w:szCs w:val="22"/>
                <w:lang w:eastAsia="en-GB"/>
              </w:rPr>
              <w:t>501</w:t>
            </w:r>
          </w:p>
        </w:tc>
        <w:tc>
          <w:tcPr>
            <w:tcW w:w="587" w:type="pct"/>
            <w:tcBorders>
              <w:top w:val="nil"/>
              <w:left w:val="nil"/>
              <w:bottom w:val="single" w:color="auto" w:sz="8" w:space="0"/>
              <w:right w:val="single" w:color="auto" w:sz="8" w:space="0"/>
            </w:tcBorders>
            <w:vAlign w:val="center"/>
          </w:tcPr>
          <w:p w:rsidRPr="00B7014C" w:rsidR="00584D93" w:rsidP="001C4BFB" w:rsidRDefault="006F7CF5" w14:paraId="0CD651B9" w14:textId="1B6617A1">
            <w:pPr>
              <w:jc w:val="center"/>
              <w:rPr>
                <w:color w:val="000000"/>
                <w:sz w:val="22"/>
                <w:szCs w:val="22"/>
                <w:lang w:eastAsia="en-GB"/>
              </w:rPr>
            </w:pPr>
            <w:r w:rsidRPr="00B7014C">
              <w:rPr>
                <w:color w:val="000000"/>
                <w:sz w:val="22"/>
                <w:szCs w:val="22"/>
                <w:lang w:eastAsia="en-GB"/>
              </w:rPr>
              <w:t>500</w:t>
            </w:r>
          </w:p>
        </w:tc>
      </w:tr>
      <w:tr w:rsidRPr="00B7014C" w:rsidR="00584D93" w:rsidTr="001C4BFB" w14:paraId="7321CB6F" w14:textId="78C48F82">
        <w:trPr>
          <w:trHeight w:val="300"/>
        </w:trPr>
        <w:tc>
          <w:tcPr>
            <w:tcW w:w="2652" w:type="pct"/>
            <w:tcBorders>
              <w:top w:val="nil"/>
              <w:left w:val="single" w:color="auto" w:sz="8" w:space="0"/>
              <w:bottom w:val="single" w:color="auto" w:sz="8" w:space="0"/>
              <w:right w:val="single" w:color="auto" w:sz="8" w:space="0"/>
            </w:tcBorders>
            <w:shd w:val="clear" w:color="auto" w:fill="auto"/>
            <w:noWrap/>
            <w:vAlign w:val="center"/>
            <w:hideMark/>
          </w:tcPr>
          <w:p w:rsidRPr="00B7014C" w:rsidR="00584D93" w:rsidP="008E5C51" w:rsidRDefault="00584D93" w14:paraId="5F352C18" w14:textId="77777777">
            <w:pPr>
              <w:rPr>
                <w:color w:val="000000"/>
                <w:sz w:val="22"/>
                <w:szCs w:val="22"/>
                <w:lang w:eastAsia="en-GB"/>
              </w:rPr>
            </w:pPr>
            <w:r w:rsidRPr="00B7014C">
              <w:rPr>
                <w:color w:val="000000"/>
                <w:sz w:val="22"/>
                <w:szCs w:val="22"/>
                <w:lang w:eastAsia="en-GB"/>
              </w:rPr>
              <w:t>Primary Schools in Barnet</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15E97FF2" w14:textId="77777777">
            <w:pPr>
              <w:jc w:val="center"/>
              <w:rPr>
                <w:color w:val="000000"/>
                <w:sz w:val="22"/>
                <w:szCs w:val="22"/>
                <w:lang w:eastAsia="en-GB"/>
              </w:rPr>
            </w:pPr>
            <w:r w:rsidRPr="00B7014C">
              <w:rPr>
                <w:color w:val="000000"/>
                <w:sz w:val="22"/>
                <w:szCs w:val="22"/>
                <w:lang w:eastAsia="en-GB"/>
              </w:rPr>
              <w:t>431</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39DE179E" w14:textId="77777777">
            <w:pPr>
              <w:jc w:val="center"/>
              <w:rPr>
                <w:color w:val="000000"/>
                <w:sz w:val="22"/>
                <w:szCs w:val="22"/>
                <w:lang w:eastAsia="en-GB"/>
              </w:rPr>
            </w:pPr>
            <w:r w:rsidRPr="00B7014C">
              <w:rPr>
                <w:color w:val="000000"/>
                <w:sz w:val="22"/>
                <w:szCs w:val="22"/>
                <w:lang w:eastAsia="en-GB"/>
              </w:rPr>
              <w:t>419</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183CE4CA" w14:textId="77777777">
            <w:pPr>
              <w:jc w:val="center"/>
              <w:rPr>
                <w:color w:val="000000"/>
                <w:sz w:val="22"/>
                <w:szCs w:val="22"/>
                <w:lang w:eastAsia="en-GB"/>
              </w:rPr>
            </w:pPr>
            <w:r w:rsidRPr="00B7014C">
              <w:rPr>
                <w:color w:val="000000"/>
                <w:sz w:val="22"/>
                <w:szCs w:val="22"/>
                <w:lang w:eastAsia="en-GB"/>
              </w:rPr>
              <w:t>398</w:t>
            </w:r>
          </w:p>
        </w:tc>
        <w:tc>
          <w:tcPr>
            <w:tcW w:w="587" w:type="pct"/>
            <w:tcBorders>
              <w:top w:val="nil"/>
              <w:left w:val="nil"/>
              <w:bottom w:val="single" w:color="auto" w:sz="8" w:space="0"/>
              <w:right w:val="single" w:color="auto" w:sz="8" w:space="0"/>
            </w:tcBorders>
            <w:vAlign w:val="center"/>
          </w:tcPr>
          <w:p w:rsidRPr="00B7014C" w:rsidR="00584D93" w:rsidP="001C4BFB" w:rsidRDefault="006F7CF5" w14:paraId="27C26570" w14:textId="5B16CC6F">
            <w:pPr>
              <w:jc w:val="center"/>
              <w:rPr>
                <w:color w:val="000000"/>
                <w:sz w:val="22"/>
                <w:szCs w:val="22"/>
                <w:lang w:eastAsia="en-GB"/>
              </w:rPr>
            </w:pPr>
            <w:r w:rsidRPr="00B7014C">
              <w:rPr>
                <w:color w:val="000000"/>
                <w:sz w:val="22"/>
                <w:szCs w:val="22"/>
                <w:lang w:eastAsia="en-GB"/>
              </w:rPr>
              <w:t>385</w:t>
            </w:r>
          </w:p>
        </w:tc>
      </w:tr>
      <w:tr w:rsidRPr="00B7014C" w:rsidR="00584D93" w:rsidTr="001C4BFB" w14:paraId="719BEF8B" w14:textId="126A254F">
        <w:trPr>
          <w:trHeight w:val="300"/>
        </w:trPr>
        <w:tc>
          <w:tcPr>
            <w:tcW w:w="2652" w:type="pct"/>
            <w:tcBorders>
              <w:top w:val="nil"/>
              <w:left w:val="single" w:color="auto" w:sz="8" w:space="0"/>
              <w:bottom w:val="single" w:color="auto" w:sz="8" w:space="0"/>
              <w:right w:val="single" w:color="auto" w:sz="8" w:space="0"/>
            </w:tcBorders>
            <w:shd w:val="clear" w:color="auto" w:fill="auto"/>
            <w:noWrap/>
            <w:vAlign w:val="center"/>
            <w:hideMark/>
          </w:tcPr>
          <w:p w:rsidRPr="00B7014C" w:rsidR="00584D93" w:rsidP="008E5C51" w:rsidRDefault="00584D93" w14:paraId="7286480C" w14:textId="77777777">
            <w:pPr>
              <w:rPr>
                <w:color w:val="000000"/>
                <w:sz w:val="22"/>
                <w:szCs w:val="22"/>
                <w:lang w:eastAsia="en-GB"/>
              </w:rPr>
            </w:pPr>
            <w:r w:rsidRPr="00B7014C">
              <w:rPr>
                <w:color w:val="000000"/>
                <w:sz w:val="22"/>
                <w:szCs w:val="22"/>
                <w:lang w:eastAsia="en-GB"/>
              </w:rPr>
              <w:t>Primary Schools in Ealing</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2486F5C3" w14:textId="77777777">
            <w:pPr>
              <w:jc w:val="center"/>
              <w:rPr>
                <w:color w:val="000000"/>
                <w:sz w:val="22"/>
                <w:szCs w:val="22"/>
                <w:lang w:eastAsia="en-GB"/>
              </w:rPr>
            </w:pPr>
            <w:r w:rsidRPr="00B7014C">
              <w:rPr>
                <w:color w:val="000000"/>
                <w:sz w:val="22"/>
                <w:szCs w:val="22"/>
                <w:lang w:eastAsia="en-GB"/>
              </w:rPr>
              <w:t>155</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688F07FD" w14:textId="77777777">
            <w:pPr>
              <w:jc w:val="center"/>
              <w:rPr>
                <w:color w:val="000000"/>
                <w:sz w:val="22"/>
                <w:szCs w:val="22"/>
                <w:lang w:eastAsia="en-GB"/>
              </w:rPr>
            </w:pPr>
            <w:r w:rsidRPr="00B7014C">
              <w:rPr>
                <w:color w:val="000000"/>
                <w:sz w:val="22"/>
                <w:szCs w:val="22"/>
                <w:lang w:eastAsia="en-GB"/>
              </w:rPr>
              <w:t>147</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5232600F" w14:textId="77777777">
            <w:pPr>
              <w:jc w:val="center"/>
              <w:rPr>
                <w:color w:val="000000"/>
                <w:sz w:val="22"/>
                <w:szCs w:val="22"/>
                <w:lang w:eastAsia="en-GB"/>
              </w:rPr>
            </w:pPr>
            <w:r w:rsidRPr="00B7014C">
              <w:rPr>
                <w:color w:val="000000"/>
                <w:sz w:val="22"/>
                <w:szCs w:val="22"/>
                <w:lang w:eastAsia="en-GB"/>
              </w:rPr>
              <w:t>164</w:t>
            </w:r>
          </w:p>
        </w:tc>
        <w:tc>
          <w:tcPr>
            <w:tcW w:w="587" w:type="pct"/>
            <w:tcBorders>
              <w:top w:val="nil"/>
              <w:left w:val="nil"/>
              <w:bottom w:val="single" w:color="auto" w:sz="8" w:space="0"/>
              <w:right w:val="single" w:color="auto" w:sz="8" w:space="0"/>
            </w:tcBorders>
            <w:vAlign w:val="center"/>
          </w:tcPr>
          <w:p w:rsidRPr="00B7014C" w:rsidR="00584D93" w:rsidP="001C4BFB" w:rsidRDefault="006F7CF5" w14:paraId="0D261481" w14:textId="3D796BD5">
            <w:pPr>
              <w:jc w:val="center"/>
              <w:rPr>
                <w:color w:val="000000"/>
                <w:sz w:val="22"/>
                <w:szCs w:val="22"/>
                <w:lang w:eastAsia="en-GB"/>
              </w:rPr>
            </w:pPr>
            <w:r w:rsidRPr="00B7014C">
              <w:rPr>
                <w:color w:val="000000"/>
                <w:sz w:val="22"/>
                <w:szCs w:val="22"/>
                <w:lang w:eastAsia="en-GB"/>
              </w:rPr>
              <w:t>160</w:t>
            </w:r>
          </w:p>
        </w:tc>
      </w:tr>
      <w:tr w:rsidRPr="00B7014C" w:rsidR="00584D93" w:rsidTr="001C4BFB" w14:paraId="0C321CAE" w14:textId="40FF3004">
        <w:trPr>
          <w:trHeight w:val="300"/>
        </w:trPr>
        <w:tc>
          <w:tcPr>
            <w:tcW w:w="2652" w:type="pct"/>
            <w:tcBorders>
              <w:top w:val="nil"/>
              <w:left w:val="single" w:color="auto" w:sz="8" w:space="0"/>
              <w:bottom w:val="single" w:color="auto" w:sz="8" w:space="0"/>
              <w:right w:val="single" w:color="auto" w:sz="8" w:space="0"/>
            </w:tcBorders>
            <w:shd w:val="clear" w:color="auto" w:fill="auto"/>
            <w:noWrap/>
            <w:vAlign w:val="center"/>
            <w:hideMark/>
          </w:tcPr>
          <w:p w:rsidRPr="00B7014C" w:rsidR="00584D93" w:rsidP="008E5C51" w:rsidRDefault="00584D93" w14:paraId="0641AE5F" w14:textId="77777777">
            <w:pPr>
              <w:rPr>
                <w:color w:val="000000"/>
                <w:sz w:val="22"/>
                <w:szCs w:val="22"/>
                <w:lang w:eastAsia="en-GB"/>
              </w:rPr>
            </w:pPr>
            <w:r w:rsidRPr="00B7014C">
              <w:rPr>
                <w:color w:val="000000"/>
                <w:sz w:val="22"/>
                <w:szCs w:val="22"/>
                <w:lang w:eastAsia="en-GB"/>
              </w:rPr>
              <w:t>Primary Schools in Hertfordshire</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20CB2431" w14:textId="77777777">
            <w:pPr>
              <w:jc w:val="center"/>
              <w:rPr>
                <w:color w:val="000000"/>
                <w:sz w:val="22"/>
                <w:szCs w:val="22"/>
                <w:lang w:eastAsia="en-GB"/>
              </w:rPr>
            </w:pPr>
            <w:r w:rsidRPr="00B7014C">
              <w:rPr>
                <w:color w:val="000000"/>
                <w:sz w:val="22"/>
                <w:szCs w:val="22"/>
                <w:lang w:eastAsia="en-GB"/>
              </w:rPr>
              <w:t>110</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2C382FB0" w14:textId="77777777">
            <w:pPr>
              <w:jc w:val="center"/>
              <w:rPr>
                <w:color w:val="000000"/>
                <w:sz w:val="22"/>
                <w:szCs w:val="22"/>
                <w:lang w:eastAsia="en-GB"/>
              </w:rPr>
            </w:pPr>
            <w:r w:rsidRPr="00B7014C">
              <w:rPr>
                <w:color w:val="000000"/>
                <w:sz w:val="22"/>
                <w:szCs w:val="22"/>
                <w:lang w:eastAsia="en-GB"/>
              </w:rPr>
              <w:t>124</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028A3C26" w14:textId="77777777">
            <w:pPr>
              <w:jc w:val="center"/>
              <w:rPr>
                <w:color w:val="000000"/>
                <w:sz w:val="22"/>
                <w:szCs w:val="22"/>
                <w:lang w:eastAsia="en-GB"/>
              </w:rPr>
            </w:pPr>
            <w:r w:rsidRPr="00B7014C">
              <w:rPr>
                <w:color w:val="000000"/>
                <w:sz w:val="22"/>
                <w:szCs w:val="22"/>
                <w:lang w:eastAsia="en-GB"/>
              </w:rPr>
              <w:t>114</w:t>
            </w:r>
          </w:p>
        </w:tc>
        <w:tc>
          <w:tcPr>
            <w:tcW w:w="587" w:type="pct"/>
            <w:tcBorders>
              <w:top w:val="nil"/>
              <w:left w:val="nil"/>
              <w:bottom w:val="single" w:color="auto" w:sz="8" w:space="0"/>
              <w:right w:val="single" w:color="auto" w:sz="8" w:space="0"/>
            </w:tcBorders>
            <w:vAlign w:val="center"/>
          </w:tcPr>
          <w:p w:rsidRPr="00B7014C" w:rsidR="00584D93" w:rsidP="001C4BFB" w:rsidRDefault="0063663A" w14:paraId="18E1D429" w14:textId="6154355F">
            <w:pPr>
              <w:jc w:val="center"/>
              <w:rPr>
                <w:color w:val="000000"/>
                <w:sz w:val="22"/>
                <w:szCs w:val="22"/>
                <w:lang w:eastAsia="en-GB"/>
              </w:rPr>
            </w:pPr>
            <w:r w:rsidRPr="00B7014C">
              <w:rPr>
                <w:color w:val="000000"/>
                <w:sz w:val="22"/>
                <w:szCs w:val="22"/>
                <w:lang w:eastAsia="en-GB"/>
              </w:rPr>
              <w:t>85</w:t>
            </w:r>
          </w:p>
        </w:tc>
      </w:tr>
      <w:tr w:rsidRPr="00B7014C" w:rsidR="00584D93" w:rsidTr="001C4BFB" w14:paraId="6E213BCB" w14:textId="0CC2FB1C">
        <w:trPr>
          <w:trHeight w:val="300"/>
        </w:trPr>
        <w:tc>
          <w:tcPr>
            <w:tcW w:w="2652" w:type="pct"/>
            <w:tcBorders>
              <w:top w:val="nil"/>
              <w:left w:val="single" w:color="auto" w:sz="8" w:space="0"/>
              <w:bottom w:val="single" w:color="auto" w:sz="8" w:space="0"/>
              <w:right w:val="single" w:color="auto" w:sz="8" w:space="0"/>
            </w:tcBorders>
            <w:shd w:val="clear" w:color="auto" w:fill="auto"/>
            <w:noWrap/>
            <w:vAlign w:val="center"/>
            <w:hideMark/>
          </w:tcPr>
          <w:p w:rsidRPr="00B7014C" w:rsidR="00584D93" w:rsidP="008E5C51" w:rsidRDefault="00584D93" w14:paraId="7982EC64" w14:textId="77777777">
            <w:pPr>
              <w:rPr>
                <w:color w:val="000000"/>
                <w:sz w:val="22"/>
                <w:szCs w:val="22"/>
                <w:lang w:eastAsia="en-GB"/>
              </w:rPr>
            </w:pPr>
            <w:r w:rsidRPr="00B7014C">
              <w:rPr>
                <w:color w:val="000000"/>
                <w:sz w:val="22"/>
                <w:szCs w:val="22"/>
                <w:lang w:eastAsia="en-GB"/>
              </w:rPr>
              <w:t xml:space="preserve">Other </w:t>
            </w:r>
            <w:proofErr w:type="spellStart"/>
            <w:r w:rsidRPr="00B7014C">
              <w:rPr>
                <w:color w:val="000000"/>
                <w:sz w:val="22"/>
                <w:szCs w:val="22"/>
                <w:lang w:eastAsia="en-GB"/>
              </w:rPr>
              <w:t>LAs</w:t>
            </w:r>
            <w:proofErr w:type="spellEnd"/>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2EB3BD78" w14:textId="77777777">
            <w:pPr>
              <w:jc w:val="center"/>
              <w:rPr>
                <w:color w:val="000000"/>
                <w:sz w:val="22"/>
                <w:szCs w:val="22"/>
                <w:lang w:eastAsia="en-GB"/>
              </w:rPr>
            </w:pPr>
            <w:r w:rsidRPr="00B7014C">
              <w:rPr>
                <w:color w:val="000000"/>
                <w:sz w:val="22"/>
                <w:szCs w:val="22"/>
                <w:lang w:eastAsia="en-GB"/>
              </w:rPr>
              <w:t>44</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4078669B" w14:textId="77777777">
            <w:pPr>
              <w:jc w:val="center"/>
              <w:rPr>
                <w:color w:val="000000"/>
                <w:sz w:val="22"/>
                <w:szCs w:val="22"/>
                <w:lang w:eastAsia="en-GB"/>
              </w:rPr>
            </w:pPr>
            <w:r w:rsidRPr="00B7014C">
              <w:rPr>
                <w:color w:val="000000"/>
                <w:sz w:val="22"/>
                <w:szCs w:val="22"/>
                <w:lang w:eastAsia="en-GB"/>
              </w:rPr>
              <w:t>47</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6605231F" w14:textId="77777777">
            <w:pPr>
              <w:jc w:val="center"/>
              <w:rPr>
                <w:color w:val="000000"/>
                <w:sz w:val="22"/>
                <w:szCs w:val="22"/>
                <w:lang w:eastAsia="en-GB"/>
              </w:rPr>
            </w:pPr>
            <w:r w:rsidRPr="00B7014C">
              <w:rPr>
                <w:color w:val="000000"/>
                <w:sz w:val="22"/>
                <w:szCs w:val="22"/>
                <w:lang w:eastAsia="en-GB"/>
              </w:rPr>
              <w:t>51</w:t>
            </w:r>
          </w:p>
        </w:tc>
        <w:tc>
          <w:tcPr>
            <w:tcW w:w="587" w:type="pct"/>
            <w:tcBorders>
              <w:top w:val="nil"/>
              <w:left w:val="nil"/>
              <w:bottom w:val="single" w:color="auto" w:sz="8" w:space="0"/>
              <w:right w:val="single" w:color="auto" w:sz="8" w:space="0"/>
            </w:tcBorders>
            <w:vAlign w:val="center"/>
          </w:tcPr>
          <w:p w:rsidRPr="00B7014C" w:rsidR="00584D93" w:rsidP="001C4BFB" w:rsidRDefault="00BC7A55" w14:paraId="2F281B64" w14:textId="1DD8E221">
            <w:pPr>
              <w:jc w:val="center"/>
              <w:rPr>
                <w:color w:val="000000"/>
                <w:sz w:val="22"/>
                <w:szCs w:val="22"/>
                <w:lang w:eastAsia="en-GB"/>
              </w:rPr>
            </w:pPr>
            <w:r w:rsidRPr="00B7014C">
              <w:rPr>
                <w:color w:val="000000"/>
                <w:sz w:val="22"/>
                <w:szCs w:val="22"/>
                <w:lang w:eastAsia="en-GB"/>
              </w:rPr>
              <w:t>47</w:t>
            </w:r>
          </w:p>
        </w:tc>
      </w:tr>
      <w:tr w:rsidRPr="00B7014C" w:rsidR="00584D93" w:rsidTr="001C4BFB" w14:paraId="13DDFFF8" w14:textId="07BD8518">
        <w:trPr>
          <w:trHeight w:val="315"/>
        </w:trPr>
        <w:tc>
          <w:tcPr>
            <w:tcW w:w="2652" w:type="pct"/>
            <w:tcBorders>
              <w:top w:val="nil"/>
              <w:left w:val="single" w:color="auto" w:sz="8" w:space="0"/>
              <w:bottom w:val="single" w:color="auto" w:sz="8" w:space="0"/>
              <w:right w:val="single" w:color="auto" w:sz="8" w:space="0"/>
            </w:tcBorders>
            <w:shd w:val="clear" w:color="auto" w:fill="auto"/>
            <w:noWrap/>
            <w:vAlign w:val="center"/>
            <w:hideMark/>
          </w:tcPr>
          <w:p w:rsidRPr="00B7014C" w:rsidR="00584D93" w:rsidP="008E5C51" w:rsidRDefault="00584D93" w14:paraId="0BFFCB4B" w14:textId="77777777">
            <w:pPr>
              <w:rPr>
                <w:b/>
                <w:bCs/>
                <w:color w:val="000000"/>
                <w:sz w:val="22"/>
                <w:szCs w:val="22"/>
                <w:lang w:eastAsia="en-GB"/>
              </w:rPr>
            </w:pPr>
            <w:r w:rsidRPr="00B7014C">
              <w:rPr>
                <w:b/>
                <w:bCs/>
                <w:color w:val="000000"/>
                <w:sz w:val="22"/>
                <w:szCs w:val="22"/>
                <w:lang w:eastAsia="en-GB"/>
              </w:rPr>
              <w:t>Total Harrow resident pupils exported</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6F26A8FA" w14:textId="77777777">
            <w:pPr>
              <w:jc w:val="center"/>
              <w:rPr>
                <w:b/>
                <w:bCs/>
                <w:color w:val="000000"/>
                <w:sz w:val="22"/>
                <w:szCs w:val="22"/>
                <w:lang w:eastAsia="en-GB"/>
              </w:rPr>
            </w:pPr>
            <w:r w:rsidRPr="00B7014C">
              <w:rPr>
                <w:b/>
                <w:bCs/>
                <w:color w:val="000000"/>
                <w:sz w:val="22"/>
                <w:szCs w:val="22"/>
                <w:lang w:eastAsia="en-GB"/>
              </w:rPr>
              <w:t>1,920</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392D6985" w14:textId="77777777">
            <w:pPr>
              <w:jc w:val="center"/>
              <w:rPr>
                <w:b/>
                <w:bCs/>
                <w:color w:val="000000"/>
                <w:sz w:val="22"/>
                <w:szCs w:val="22"/>
                <w:lang w:eastAsia="en-GB"/>
              </w:rPr>
            </w:pPr>
            <w:r w:rsidRPr="00B7014C">
              <w:rPr>
                <w:b/>
                <w:bCs/>
                <w:color w:val="000000"/>
                <w:sz w:val="22"/>
                <w:szCs w:val="22"/>
                <w:lang w:eastAsia="en-GB"/>
              </w:rPr>
              <w:t>1,872</w:t>
            </w:r>
          </w:p>
        </w:tc>
        <w:tc>
          <w:tcPr>
            <w:tcW w:w="587" w:type="pct"/>
            <w:tcBorders>
              <w:top w:val="nil"/>
              <w:left w:val="nil"/>
              <w:bottom w:val="single" w:color="auto" w:sz="8" w:space="0"/>
              <w:right w:val="single" w:color="auto" w:sz="8" w:space="0"/>
            </w:tcBorders>
            <w:shd w:val="clear" w:color="auto" w:fill="auto"/>
            <w:noWrap/>
            <w:vAlign w:val="center"/>
            <w:hideMark/>
          </w:tcPr>
          <w:p w:rsidRPr="00B7014C" w:rsidR="00584D93" w:rsidP="008E5C51" w:rsidRDefault="00584D93" w14:paraId="1E35DFF8" w14:textId="77777777">
            <w:pPr>
              <w:jc w:val="center"/>
              <w:rPr>
                <w:b/>
                <w:bCs/>
                <w:color w:val="000000"/>
                <w:sz w:val="22"/>
                <w:szCs w:val="22"/>
                <w:lang w:eastAsia="en-GB"/>
              </w:rPr>
            </w:pPr>
            <w:r w:rsidRPr="00B7014C">
              <w:rPr>
                <w:b/>
                <w:bCs/>
                <w:color w:val="000000"/>
                <w:sz w:val="22"/>
                <w:szCs w:val="22"/>
                <w:lang w:eastAsia="en-GB"/>
              </w:rPr>
              <w:t>1,795</w:t>
            </w:r>
          </w:p>
        </w:tc>
        <w:tc>
          <w:tcPr>
            <w:tcW w:w="587" w:type="pct"/>
            <w:tcBorders>
              <w:top w:val="nil"/>
              <w:left w:val="nil"/>
              <w:bottom w:val="single" w:color="auto" w:sz="8" w:space="0"/>
              <w:right w:val="single" w:color="auto" w:sz="8" w:space="0"/>
            </w:tcBorders>
            <w:vAlign w:val="center"/>
          </w:tcPr>
          <w:p w:rsidRPr="00B7014C" w:rsidR="00584D93" w:rsidP="001C4BFB" w:rsidRDefault="004D749F" w14:paraId="0CA7AB6F" w14:textId="23741D66">
            <w:pPr>
              <w:jc w:val="center"/>
              <w:rPr>
                <w:b/>
                <w:bCs/>
                <w:color w:val="000000"/>
                <w:sz w:val="22"/>
                <w:szCs w:val="22"/>
                <w:lang w:eastAsia="en-GB"/>
              </w:rPr>
            </w:pPr>
            <w:r w:rsidRPr="00B7014C">
              <w:rPr>
                <w:b/>
                <w:bCs/>
                <w:color w:val="000000"/>
                <w:sz w:val="22"/>
                <w:szCs w:val="22"/>
                <w:lang w:eastAsia="en-GB"/>
              </w:rPr>
              <w:t>1,715</w:t>
            </w:r>
          </w:p>
        </w:tc>
      </w:tr>
    </w:tbl>
    <w:p w:rsidRPr="00B7014C" w:rsidR="00A16979" w:rsidP="00A16979" w:rsidRDefault="00A16979" w14:paraId="26FE6BE5" w14:textId="77777777">
      <w:pPr>
        <w:rPr>
          <w:sz w:val="20"/>
          <w:szCs w:val="20"/>
        </w:rPr>
      </w:pPr>
      <w:r w:rsidRPr="00B7014C">
        <w:rPr>
          <w:sz w:val="20"/>
          <w:szCs w:val="20"/>
        </w:rPr>
        <w:t xml:space="preserve">Source: DfE </w:t>
      </w:r>
      <w:proofErr w:type="spellStart"/>
      <w:r w:rsidRPr="00B7014C">
        <w:rPr>
          <w:sz w:val="20"/>
          <w:szCs w:val="20"/>
        </w:rPr>
        <w:t>SFR</w:t>
      </w:r>
      <w:proofErr w:type="spellEnd"/>
      <w:r w:rsidRPr="00B7014C">
        <w:rPr>
          <w:sz w:val="20"/>
          <w:szCs w:val="20"/>
        </w:rPr>
        <w:t xml:space="preserve"> Cross Border Movement</w:t>
      </w:r>
    </w:p>
    <w:p w:rsidRPr="00B7014C" w:rsidR="00A16979" w:rsidP="00A16979" w:rsidRDefault="00A16979" w14:paraId="097DFAAC" w14:textId="77777777"/>
    <w:p w:rsidRPr="00B7014C" w:rsidR="00A16979" w:rsidP="00A16979" w:rsidRDefault="00FC14D1" w14:paraId="41066117" w14:textId="5439FD5A">
      <w:r w:rsidRPr="00B7014C">
        <w:t>Table 5</w:t>
      </w:r>
      <w:r w:rsidRPr="00B7014C" w:rsidR="00A16979">
        <w:t xml:space="preserve"> below shows the number of out of borough of residents attending Harrow’s primary schools.  The number of out of borough pupils attending Harrow’s schools </w:t>
      </w:r>
      <w:r w:rsidRPr="00B7014C" w:rsidR="007E3F02">
        <w:t xml:space="preserve">increased </w:t>
      </w:r>
      <w:r w:rsidRPr="00B7014C" w:rsidR="00A16979">
        <w:t>from 2,0</w:t>
      </w:r>
      <w:r w:rsidRPr="00B7014C" w:rsidR="007E3F02">
        <w:t>6</w:t>
      </w:r>
      <w:r w:rsidRPr="00B7014C" w:rsidR="00F233BF">
        <w:t>0</w:t>
      </w:r>
      <w:r w:rsidRPr="00B7014C" w:rsidR="00A16979">
        <w:t xml:space="preserve"> in January 201</w:t>
      </w:r>
      <w:r w:rsidRPr="00B7014C" w:rsidR="00F233BF">
        <w:t>7</w:t>
      </w:r>
      <w:r w:rsidRPr="00B7014C" w:rsidR="00A16979">
        <w:t xml:space="preserve"> to </w:t>
      </w:r>
      <w:r w:rsidRPr="00B7014C" w:rsidR="006F7733">
        <w:t>2,296 in January 2019</w:t>
      </w:r>
      <w:r w:rsidRPr="00B7014C" w:rsidR="00F233BF">
        <w:t xml:space="preserve"> but dropped slightly to 2,256 in 2020.</w:t>
      </w:r>
    </w:p>
    <w:p w:rsidRPr="00B7014C" w:rsidR="00A16979" w:rsidP="00A16979" w:rsidRDefault="00A16979" w14:paraId="2CC78992" w14:textId="77777777"/>
    <w:p w:rsidRPr="00B7014C" w:rsidR="00A16979" w:rsidP="00A16979" w:rsidRDefault="00FC14D1" w14:paraId="7DF57430" w14:textId="68295AC2">
      <w:r w:rsidRPr="00B7014C">
        <w:t>Table 5</w:t>
      </w:r>
      <w:r w:rsidRPr="00B7014C" w:rsidR="00A16979">
        <w:t>: Borough of residence of Harrow’s primary school pupils</w:t>
      </w:r>
    </w:p>
    <w:tbl>
      <w:tblPr>
        <w:tblW w:w="3930" w:type="pct"/>
        <w:tblLook w:val="04A0" w:firstRow="1" w:lastRow="0" w:firstColumn="1" w:lastColumn="0" w:noHBand="0" w:noVBand="1"/>
      </w:tblPr>
      <w:tblGrid>
        <w:gridCol w:w="4199"/>
        <w:gridCol w:w="951"/>
        <w:gridCol w:w="951"/>
        <w:gridCol w:w="953"/>
        <w:gridCol w:w="951"/>
      </w:tblGrid>
      <w:tr w:rsidRPr="00B7014C" w:rsidR="00063E63" w:rsidTr="00063E63" w14:paraId="7638374E" w14:textId="07F80510">
        <w:trPr>
          <w:trHeight w:val="330"/>
        </w:trPr>
        <w:tc>
          <w:tcPr>
            <w:tcW w:w="2623" w:type="pct"/>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B7014C" w:rsidR="00063E63" w:rsidP="006F7733" w:rsidRDefault="00063E63" w14:paraId="65723C53" w14:textId="77777777">
            <w:pPr>
              <w:rPr>
                <w:b/>
                <w:bCs/>
                <w:color w:val="000000"/>
                <w:sz w:val="22"/>
                <w:szCs w:val="22"/>
                <w:lang w:eastAsia="en-GB"/>
              </w:rPr>
            </w:pPr>
            <w:r w:rsidRPr="00B7014C">
              <w:rPr>
                <w:b/>
                <w:bCs/>
                <w:color w:val="000000"/>
                <w:sz w:val="22"/>
                <w:szCs w:val="22"/>
                <w:lang w:eastAsia="en-GB"/>
              </w:rPr>
              <w:t>LA Name Residence</w:t>
            </w:r>
          </w:p>
        </w:tc>
        <w:tc>
          <w:tcPr>
            <w:tcW w:w="2377" w:type="pct"/>
            <w:gridSpan w:val="4"/>
            <w:tcBorders>
              <w:top w:val="single" w:color="auto" w:sz="8" w:space="0"/>
              <w:left w:val="nil"/>
              <w:bottom w:val="single" w:color="auto" w:sz="8" w:space="0"/>
              <w:right w:val="single" w:color="000000" w:sz="8" w:space="0"/>
            </w:tcBorders>
            <w:shd w:val="clear" w:color="auto" w:fill="auto"/>
            <w:vAlign w:val="center"/>
            <w:hideMark/>
          </w:tcPr>
          <w:p w:rsidRPr="00B7014C" w:rsidR="00063E63" w:rsidP="00063E63" w:rsidRDefault="00063E63" w14:paraId="50E6FD65" w14:textId="56538932">
            <w:pPr>
              <w:jc w:val="center"/>
              <w:rPr>
                <w:b/>
                <w:bCs/>
                <w:color w:val="000000"/>
                <w:sz w:val="22"/>
                <w:szCs w:val="22"/>
                <w:lang w:eastAsia="en-GB"/>
              </w:rPr>
            </w:pPr>
            <w:r w:rsidRPr="00B7014C">
              <w:rPr>
                <w:b/>
                <w:bCs/>
                <w:color w:val="000000"/>
                <w:sz w:val="22"/>
                <w:szCs w:val="22"/>
                <w:lang w:eastAsia="en-GB"/>
              </w:rPr>
              <w:t>Primary School in Harrow</w:t>
            </w:r>
          </w:p>
        </w:tc>
      </w:tr>
      <w:tr w:rsidRPr="00B7014C" w:rsidR="00063E63" w:rsidTr="00063E63" w14:paraId="11DA6C28" w14:textId="2DBB82C1">
        <w:trPr>
          <w:trHeight w:val="330"/>
        </w:trPr>
        <w:tc>
          <w:tcPr>
            <w:tcW w:w="2623" w:type="pct"/>
            <w:vMerge/>
            <w:tcBorders>
              <w:top w:val="single" w:color="auto" w:sz="8" w:space="0"/>
              <w:left w:val="single" w:color="auto" w:sz="8" w:space="0"/>
              <w:bottom w:val="single" w:color="000000" w:sz="8" w:space="0"/>
              <w:right w:val="single" w:color="auto" w:sz="8" w:space="0"/>
            </w:tcBorders>
            <w:vAlign w:val="center"/>
            <w:hideMark/>
          </w:tcPr>
          <w:p w:rsidRPr="00B7014C" w:rsidR="00063E63" w:rsidP="006F7733" w:rsidRDefault="00063E63" w14:paraId="65AE9176" w14:textId="77777777">
            <w:pPr>
              <w:rPr>
                <w:b/>
                <w:bCs/>
                <w:color w:val="000000"/>
                <w:sz w:val="22"/>
                <w:szCs w:val="22"/>
                <w:lang w:eastAsia="en-GB"/>
              </w:rPr>
            </w:pP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750F4BE2" w14:textId="77777777">
            <w:pPr>
              <w:jc w:val="center"/>
              <w:rPr>
                <w:b/>
                <w:bCs/>
                <w:color w:val="000000"/>
                <w:sz w:val="22"/>
                <w:szCs w:val="22"/>
                <w:lang w:eastAsia="en-GB"/>
              </w:rPr>
            </w:pPr>
            <w:r w:rsidRPr="00B7014C">
              <w:rPr>
                <w:b/>
                <w:bCs/>
                <w:color w:val="000000"/>
                <w:sz w:val="22"/>
                <w:szCs w:val="22"/>
                <w:lang w:eastAsia="en-GB"/>
              </w:rPr>
              <w:t>Jan-17</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66DF0C25" w14:textId="77777777">
            <w:pPr>
              <w:jc w:val="center"/>
              <w:rPr>
                <w:b/>
                <w:bCs/>
                <w:color w:val="000000"/>
                <w:sz w:val="22"/>
                <w:szCs w:val="22"/>
                <w:lang w:eastAsia="en-GB"/>
              </w:rPr>
            </w:pPr>
            <w:r w:rsidRPr="00B7014C">
              <w:rPr>
                <w:b/>
                <w:bCs/>
                <w:color w:val="000000"/>
                <w:sz w:val="22"/>
                <w:szCs w:val="22"/>
                <w:lang w:eastAsia="en-GB"/>
              </w:rPr>
              <w:t>Jan-18</w:t>
            </w:r>
          </w:p>
        </w:tc>
        <w:tc>
          <w:tcPr>
            <w:tcW w:w="595"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15E1C8A0" w14:textId="77777777">
            <w:pPr>
              <w:jc w:val="center"/>
              <w:rPr>
                <w:b/>
                <w:bCs/>
                <w:color w:val="000000"/>
                <w:sz w:val="22"/>
                <w:szCs w:val="22"/>
                <w:lang w:eastAsia="en-GB"/>
              </w:rPr>
            </w:pPr>
            <w:r w:rsidRPr="00B7014C">
              <w:rPr>
                <w:b/>
                <w:bCs/>
                <w:color w:val="000000"/>
                <w:sz w:val="22"/>
                <w:szCs w:val="22"/>
                <w:lang w:eastAsia="en-GB"/>
              </w:rPr>
              <w:t>Jan-19</w:t>
            </w:r>
          </w:p>
        </w:tc>
        <w:tc>
          <w:tcPr>
            <w:tcW w:w="594" w:type="pct"/>
            <w:tcBorders>
              <w:top w:val="nil"/>
              <w:left w:val="nil"/>
              <w:bottom w:val="single" w:color="auto" w:sz="8" w:space="0"/>
              <w:right w:val="single" w:color="auto" w:sz="8" w:space="0"/>
            </w:tcBorders>
            <w:vAlign w:val="center"/>
          </w:tcPr>
          <w:p w:rsidRPr="00B7014C" w:rsidR="00063E63" w:rsidP="00063E63" w:rsidRDefault="00FE64AE" w14:paraId="0D93E249" w14:textId="65ADADE3">
            <w:pPr>
              <w:jc w:val="center"/>
              <w:rPr>
                <w:b/>
                <w:bCs/>
                <w:color w:val="000000"/>
                <w:sz w:val="22"/>
                <w:szCs w:val="22"/>
                <w:lang w:eastAsia="en-GB"/>
              </w:rPr>
            </w:pPr>
            <w:r w:rsidRPr="00B7014C">
              <w:rPr>
                <w:b/>
                <w:bCs/>
                <w:color w:val="000000"/>
                <w:sz w:val="22"/>
                <w:szCs w:val="22"/>
                <w:lang w:eastAsia="en-GB"/>
              </w:rPr>
              <w:t>Jan-20</w:t>
            </w:r>
          </w:p>
        </w:tc>
      </w:tr>
      <w:tr w:rsidRPr="00B7014C" w:rsidR="00063E63" w:rsidTr="00063E63" w14:paraId="2442F76A" w14:textId="0617CB26">
        <w:trPr>
          <w:trHeight w:val="315"/>
        </w:trPr>
        <w:tc>
          <w:tcPr>
            <w:tcW w:w="2623" w:type="pct"/>
            <w:tcBorders>
              <w:top w:val="nil"/>
              <w:left w:val="single" w:color="auto" w:sz="8" w:space="0"/>
              <w:bottom w:val="single" w:color="auto" w:sz="8" w:space="0"/>
              <w:right w:val="single" w:color="auto" w:sz="8" w:space="0"/>
            </w:tcBorders>
            <w:shd w:val="clear" w:color="auto" w:fill="auto"/>
            <w:noWrap/>
            <w:vAlign w:val="center"/>
            <w:hideMark/>
          </w:tcPr>
          <w:p w:rsidRPr="00B7014C" w:rsidR="00063E63" w:rsidP="006F7733" w:rsidRDefault="00063E63" w14:paraId="0373FFB2" w14:textId="77777777">
            <w:pPr>
              <w:rPr>
                <w:color w:val="000000"/>
                <w:sz w:val="22"/>
                <w:szCs w:val="22"/>
                <w:lang w:eastAsia="en-GB"/>
              </w:rPr>
            </w:pPr>
            <w:r w:rsidRPr="00B7014C">
              <w:rPr>
                <w:color w:val="000000"/>
                <w:sz w:val="22"/>
                <w:szCs w:val="22"/>
                <w:lang w:eastAsia="en-GB"/>
              </w:rPr>
              <w:t>Residents of Brent</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1424F5E1" w14:textId="77777777">
            <w:pPr>
              <w:jc w:val="center"/>
              <w:rPr>
                <w:color w:val="000000"/>
                <w:sz w:val="22"/>
                <w:szCs w:val="22"/>
                <w:lang w:eastAsia="en-GB"/>
              </w:rPr>
            </w:pPr>
            <w:r w:rsidRPr="00B7014C">
              <w:rPr>
                <w:color w:val="000000"/>
                <w:sz w:val="22"/>
                <w:szCs w:val="22"/>
                <w:lang w:eastAsia="en-GB"/>
              </w:rPr>
              <w:t>711</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68F984A3" w14:textId="77777777">
            <w:pPr>
              <w:jc w:val="center"/>
              <w:rPr>
                <w:color w:val="000000"/>
                <w:sz w:val="22"/>
                <w:szCs w:val="22"/>
                <w:lang w:eastAsia="en-GB"/>
              </w:rPr>
            </w:pPr>
            <w:r w:rsidRPr="00B7014C">
              <w:rPr>
                <w:color w:val="000000"/>
                <w:sz w:val="22"/>
                <w:szCs w:val="22"/>
                <w:lang w:eastAsia="en-GB"/>
              </w:rPr>
              <w:t>743</w:t>
            </w:r>
          </w:p>
        </w:tc>
        <w:tc>
          <w:tcPr>
            <w:tcW w:w="595"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4762617E" w14:textId="77777777">
            <w:pPr>
              <w:jc w:val="center"/>
              <w:rPr>
                <w:color w:val="000000"/>
                <w:sz w:val="22"/>
                <w:szCs w:val="22"/>
                <w:lang w:eastAsia="en-GB"/>
              </w:rPr>
            </w:pPr>
            <w:r w:rsidRPr="00B7014C">
              <w:rPr>
                <w:color w:val="000000"/>
                <w:sz w:val="22"/>
                <w:szCs w:val="22"/>
                <w:lang w:eastAsia="en-GB"/>
              </w:rPr>
              <w:t>789</w:t>
            </w:r>
          </w:p>
        </w:tc>
        <w:tc>
          <w:tcPr>
            <w:tcW w:w="594" w:type="pct"/>
            <w:tcBorders>
              <w:top w:val="nil"/>
              <w:left w:val="nil"/>
              <w:bottom w:val="single" w:color="auto" w:sz="8" w:space="0"/>
              <w:right w:val="single" w:color="auto" w:sz="8" w:space="0"/>
            </w:tcBorders>
            <w:vAlign w:val="center"/>
          </w:tcPr>
          <w:p w:rsidRPr="00B7014C" w:rsidR="00063E63" w:rsidP="00063E63" w:rsidRDefault="00FE64AE" w14:paraId="59D92AA6" w14:textId="1EEB21A2">
            <w:pPr>
              <w:jc w:val="center"/>
              <w:rPr>
                <w:color w:val="000000"/>
                <w:sz w:val="22"/>
                <w:szCs w:val="22"/>
                <w:lang w:eastAsia="en-GB"/>
              </w:rPr>
            </w:pPr>
            <w:r w:rsidRPr="00B7014C">
              <w:rPr>
                <w:color w:val="000000"/>
                <w:sz w:val="22"/>
                <w:szCs w:val="22"/>
                <w:lang w:eastAsia="en-GB"/>
              </w:rPr>
              <w:t>786</w:t>
            </w:r>
          </w:p>
        </w:tc>
      </w:tr>
      <w:tr w:rsidRPr="00B7014C" w:rsidR="00063E63" w:rsidTr="00063E63" w14:paraId="6F413BEC" w14:textId="1B71D265">
        <w:trPr>
          <w:trHeight w:val="315"/>
        </w:trPr>
        <w:tc>
          <w:tcPr>
            <w:tcW w:w="2623" w:type="pct"/>
            <w:tcBorders>
              <w:top w:val="nil"/>
              <w:left w:val="single" w:color="auto" w:sz="8" w:space="0"/>
              <w:bottom w:val="single" w:color="auto" w:sz="8" w:space="0"/>
              <w:right w:val="single" w:color="auto" w:sz="8" w:space="0"/>
            </w:tcBorders>
            <w:shd w:val="clear" w:color="auto" w:fill="auto"/>
            <w:noWrap/>
            <w:vAlign w:val="center"/>
            <w:hideMark/>
          </w:tcPr>
          <w:p w:rsidRPr="00B7014C" w:rsidR="00063E63" w:rsidP="006F7733" w:rsidRDefault="00063E63" w14:paraId="381A72C7" w14:textId="77777777">
            <w:pPr>
              <w:rPr>
                <w:color w:val="000000"/>
                <w:sz w:val="22"/>
                <w:szCs w:val="22"/>
                <w:lang w:eastAsia="en-GB"/>
              </w:rPr>
            </w:pPr>
            <w:r w:rsidRPr="00B7014C">
              <w:rPr>
                <w:color w:val="000000"/>
                <w:sz w:val="22"/>
                <w:szCs w:val="22"/>
                <w:lang w:eastAsia="en-GB"/>
              </w:rPr>
              <w:t>Residents of Hillingdon</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69B20AE4" w14:textId="77777777">
            <w:pPr>
              <w:jc w:val="center"/>
              <w:rPr>
                <w:color w:val="000000"/>
                <w:sz w:val="22"/>
                <w:szCs w:val="22"/>
                <w:lang w:eastAsia="en-GB"/>
              </w:rPr>
            </w:pPr>
            <w:r w:rsidRPr="00B7014C">
              <w:rPr>
                <w:color w:val="000000"/>
                <w:sz w:val="22"/>
                <w:szCs w:val="22"/>
                <w:lang w:eastAsia="en-GB"/>
              </w:rPr>
              <w:t>418</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6E58BB6B" w14:textId="77777777">
            <w:pPr>
              <w:jc w:val="center"/>
              <w:rPr>
                <w:color w:val="000000"/>
                <w:sz w:val="22"/>
                <w:szCs w:val="22"/>
                <w:lang w:eastAsia="en-GB"/>
              </w:rPr>
            </w:pPr>
            <w:r w:rsidRPr="00B7014C">
              <w:rPr>
                <w:color w:val="000000"/>
                <w:sz w:val="22"/>
                <w:szCs w:val="22"/>
                <w:lang w:eastAsia="en-GB"/>
              </w:rPr>
              <w:t>441</w:t>
            </w:r>
          </w:p>
        </w:tc>
        <w:tc>
          <w:tcPr>
            <w:tcW w:w="595"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5D1AFBF8" w14:textId="77777777">
            <w:pPr>
              <w:jc w:val="center"/>
              <w:rPr>
                <w:color w:val="000000"/>
                <w:sz w:val="22"/>
                <w:szCs w:val="22"/>
                <w:lang w:eastAsia="en-GB"/>
              </w:rPr>
            </w:pPr>
            <w:r w:rsidRPr="00B7014C">
              <w:rPr>
                <w:color w:val="000000"/>
                <w:sz w:val="22"/>
                <w:szCs w:val="22"/>
                <w:lang w:eastAsia="en-GB"/>
              </w:rPr>
              <w:t>499</w:t>
            </w:r>
          </w:p>
        </w:tc>
        <w:tc>
          <w:tcPr>
            <w:tcW w:w="594" w:type="pct"/>
            <w:tcBorders>
              <w:top w:val="nil"/>
              <w:left w:val="nil"/>
              <w:bottom w:val="single" w:color="auto" w:sz="8" w:space="0"/>
              <w:right w:val="single" w:color="auto" w:sz="8" w:space="0"/>
            </w:tcBorders>
            <w:vAlign w:val="center"/>
          </w:tcPr>
          <w:p w:rsidRPr="00B7014C" w:rsidR="00063E63" w:rsidP="00063E63" w:rsidRDefault="00FE64AE" w14:paraId="78A12795" w14:textId="6BB7A94B">
            <w:pPr>
              <w:jc w:val="center"/>
              <w:rPr>
                <w:color w:val="000000"/>
                <w:sz w:val="22"/>
                <w:szCs w:val="22"/>
                <w:lang w:eastAsia="en-GB"/>
              </w:rPr>
            </w:pPr>
            <w:r w:rsidRPr="00B7014C">
              <w:rPr>
                <w:color w:val="000000"/>
                <w:sz w:val="22"/>
                <w:szCs w:val="22"/>
                <w:lang w:eastAsia="en-GB"/>
              </w:rPr>
              <w:t>498</w:t>
            </w:r>
          </w:p>
        </w:tc>
      </w:tr>
      <w:tr w:rsidRPr="00B7014C" w:rsidR="00063E63" w:rsidTr="00063E63" w14:paraId="7B80FD09" w14:textId="606B5862">
        <w:trPr>
          <w:trHeight w:val="315"/>
        </w:trPr>
        <w:tc>
          <w:tcPr>
            <w:tcW w:w="2623" w:type="pct"/>
            <w:tcBorders>
              <w:top w:val="nil"/>
              <w:left w:val="single" w:color="auto" w:sz="8" w:space="0"/>
              <w:bottom w:val="single" w:color="auto" w:sz="8" w:space="0"/>
              <w:right w:val="single" w:color="auto" w:sz="8" w:space="0"/>
            </w:tcBorders>
            <w:shd w:val="clear" w:color="auto" w:fill="auto"/>
            <w:noWrap/>
            <w:vAlign w:val="center"/>
            <w:hideMark/>
          </w:tcPr>
          <w:p w:rsidRPr="00B7014C" w:rsidR="00063E63" w:rsidP="006F7733" w:rsidRDefault="00063E63" w14:paraId="34A4BCFA" w14:textId="77777777">
            <w:pPr>
              <w:rPr>
                <w:color w:val="000000"/>
                <w:sz w:val="22"/>
                <w:szCs w:val="22"/>
                <w:lang w:eastAsia="en-GB"/>
              </w:rPr>
            </w:pPr>
            <w:r w:rsidRPr="00B7014C">
              <w:rPr>
                <w:color w:val="000000"/>
                <w:sz w:val="22"/>
                <w:szCs w:val="22"/>
                <w:lang w:eastAsia="en-GB"/>
              </w:rPr>
              <w:t>Residents of Hertfordshire</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2EF2A068" w14:textId="77777777">
            <w:pPr>
              <w:jc w:val="center"/>
              <w:rPr>
                <w:color w:val="000000"/>
                <w:sz w:val="22"/>
                <w:szCs w:val="22"/>
                <w:lang w:eastAsia="en-GB"/>
              </w:rPr>
            </w:pPr>
            <w:r w:rsidRPr="00B7014C">
              <w:rPr>
                <w:color w:val="000000"/>
                <w:sz w:val="22"/>
                <w:szCs w:val="22"/>
                <w:lang w:eastAsia="en-GB"/>
              </w:rPr>
              <w:t>368</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2D008A9A" w14:textId="77777777">
            <w:pPr>
              <w:jc w:val="center"/>
              <w:rPr>
                <w:color w:val="000000"/>
                <w:sz w:val="22"/>
                <w:szCs w:val="22"/>
                <w:lang w:eastAsia="en-GB"/>
              </w:rPr>
            </w:pPr>
            <w:r w:rsidRPr="00B7014C">
              <w:rPr>
                <w:color w:val="000000"/>
                <w:sz w:val="22"/>
                <w:szCs w:val="22"/>
                <w:lang w:eastAsia="en-GB"/>
              </w:rPr>
              <w:t>384</w:t>
            </w:r>
          </w:p>
        </w:tc>
        <w:tc>
          <w:tcPr>
            <w:tcW w:w="595"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08D2011A" w14:textId="77777777">
            <w:pPr>
              <w:jc w:val="center"/>
              <w:rPr>
                <w:color w:val="000000"/>
                <w:sz w:val="22"/>
                <w:szCs w:val="22"/>
                <w:lang w:eastAsia="en-GB"/>
              </w:rPr>
            </w:pPr>
            <w:r w:rsidRPr="00B7014C">
              <w:rPr>
                <w:color w:val="000000"/>
                <w:sz w:val="22"/>
                <w:szCs w:val="22"/>
                <w:lang w:eastAsia="en-GB"/>
              </w:rPr>
              <w:t>450</w:t>
            </w:r>
          </w:p>
        </w:tc>
        <w:tc>
          <w:tcPr>
            <w:tcW w:w="594" w:type="pct"/>
            <w:tcBorders>
              <w:top w:val="nil"/>
              <w:left w:val="nil"/>
              <w:bottom w:val="single" w:color="auto" w:sz="8" w:space="0"/>
              <w:right w:val="single" w:color="auto" w:sz="8" w:space="0"/>
            </w:tcBorders>
            <w:vAlign w:val="center"/>
          </w:tcPr>
          <w:p w:rsidRPr="00B7014C" w:rsidR="00063E63" w:rsidP="00063E63" w:rsidRDefault="00FE64AE" w14:paraId="112A923A" w14:textId="343EFC1B">
            <w:pPr>
              <w:jc w:val="center"/>
              <w:rPr>
                <w:color w:val="000000"/>
                <w:sz w:val="22"/>
                <w:szCs w:val="22"/>
                <w:lang w:eastAsia="en-GB"/>
              </w:rPr>
            </w:pPr>
            <w:r w:rsidRPr="00B7014C">
              <w:rPr>
                <w:color w:val="000000"/>
                <w:sz w:val="22"/>
                <w:szCs w:val="22"/>
                <w:lang w:eastAsia="en-GB"/>
              </w:rPr>
              <w:t>418</w:t>
            </w:r>
          </w:p>
        </w:tc>
      </w:tr>
      <w:tr w:rsidRPr="00B7014C" w:rsidR="00063E63" w:rsidTr="00063E63" w14:paraId="5C0014E1" w14:textId="400B383A">
        <w:trPr>
          <w:trHeight w:val="315"/>
        </w:trPr>
        <w:tc>
          <w:tcPr>
            <w:tcW w:w="2623" w:type="pct"/>
            <w:tcBorders>
              <w:top w:val="nil"/>
              <w:left w:val="single" w:color="auto" w:sz="8" w:space="0"/>
              <w:bottom w:val="single" w:color="auto" w:sz="8" w:space="0"/>
              <w:right w:val="single" w:color="auto" w:sz="8" w:space="0"/>
            </w:tcBorders>
            <w:shd w:val="clear" w:color="auto" w:fill="auto"/>
            <w:noWrap/>
            <w:vAlign w:val="center"/>
            <w:hideMark/>
          </w:tcPr>
          <w:p w:rsidRPr="00B7014C" w:rsidR="00063E63" w:rsidP="006F7733" w:rsidRDefault="00063E63" w14:paraId="1E78441F" w14:textId="77777777">
            <w:pPr>
              <w:rPr>
                <w:color w:val="000000"/>
                <w:sz w:val="22"/>
                <w:szCs w:val="22"/>
                <w:lang w:eastAsia="en-GB"/>
              </w:rPr>
            </w:pPr>
            <w:r w:rsidRPr="00B7014C">
              <w:rPr>
                <w:color w:val="000000"/>
                <w:sz w:val="22"/>
                <w:szCs w:val="22"/>
                <w:lang w:eastAsia="en-GB"/>
              </w:rPr>
              <w:t>Residents of Ealing</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06DA2ADD" w14:textId="77777777">
            <w:pPr>
              <w:jc w:val="center"/>
              <w:rPr>
                <w:color w:val="000000"/>
                <w:sz w:val="22"/>
                <w:szCs w:val="22"/>
                <w:lang w:eastAsia="en-GB"/>
              </w:rPr>
            </w:pPr>
            <w:r w:rsidRPr="00B7014C">
              <w:rPr>
                <w:color w:val="000000"/>
                <w:sz w:val="22"/>
                <w:szCs w:val="22"/>
                <w:lang w:eastAsia="en-GB"/>
              </w:rPr>
              <w:t>307</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7AAB0C57" w14:textId="77777777">
            <w:pPr>
              <w:jc w:val="center"/>
              <w:rPr>
                <w:color w:val="000000"/>
                <w:sz w:val="22"/>
                <w:szCs w:val="22"/>
                <w:lang w:eastAsia="en-GB"/>
              </w:rPr>
            </w:pPr>
            <w:r w:rsidRPr="00B7014C">
              <w:rPr>
                <w:color w:val="000000"/>
                <w:sz w:val="22"/>
                <w:szCs w:val="22"/>
                <w:lang w:eastAsia="en-GB"/>
              </w:rPr>
              <w:t>296</w:t>
            </w:r>
          </w:p>
        </w:tc>
        <w:tc>
          <w:tcPr>
            <w:tcW w:w="595"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0F055E51" w14:textId="77777777">
            <w:pPr>
              <w:jc w:val="center"/>
              <w:rPr>
                <w:color w:val="000000"/>
                <w:sz w:val="22"/>
                <w:szCs w:val="22"/>
                <w:lang w:eastAsia="en-GB"/>
              </w:rPr>
            </w:pPr>
            <w:r w:rsidRPr="00B7014C">
              <w:rPr>
                <w:color w:val="000000"/>
                <w:sz w:val="22"/>
                <w:szCs w:val="22"/>
                <w:lang w:eastAsia="en-GB"/>
              </w:rPr>
              <w:t>297</w:t>
            </w:r>
          </w:p>
        </w:tc>
        <w:tc>
          <w:tcPr>
            <w:tcW w:w="594" w:type="pct"/>
            <w:tcBorders>
              <w:top w:val="nil"/>
              <w:left w:val="nil"/>
              <w:bottom w:val="single" w:color="auto" w:sz="8" w:space="0"/>
              <w:right w:val="single" w:color="auto" w:sz="8" w:space="0"/>
            </w:tcBorders>
            <w:vAlign w:val="center"/>
          </w:tcPr>
          <w:p w:rsidRPr="00B7014C" w:rsidR="00063E63" w:rsidP="00063E63" w:rsidRDefault="00FE64AE" w14:paraId="0978E59C" w14:textId="66010D11">
            <w:pPr>
              <w:jc w:val="center"/>
              <w:rPr>
                <w:color w:val="000000"/>
                <w:sz w:val="22"/>
                <w:szCs w:val="22"/>
                <w:lang w:eastAsia="en-GB"/>
              </w:rPr>
            </w:pPr>
            <w:r w:rsidRPr="00B7014C">
              <w:rPr>
                <w:color w:val="000000"/>
                <w:sz w:val="22"/>
                <w:szCs w:val="22"/>
                <w:lang w:eastAsia="en-GB"/>
              </w:rPr>
              <w:t>283</w:t>
            </w:r>
          </w:p>
        </w:tc>
      </w:tr>
      <w:tr w:rsidRPr="00B7014C" w:rsidR="00063E63" w:rsidTr="00063E63" w14:paraId="12E85CED" w14:textId="5F95F986">
        <w:trPr>
          <w:trHeight w:val="315"/>
        </w:trPr>
        <w:tc>
          <w:tcPr>
            <w:tcW w:w="2623" w:type="pct"/>
            <w:tcBorders>
              <w:top w:val="nil"/>
              <w:left w:val="single" w:color="auto" w:sz="8" w:space="0"/>
              <w:bottom w:val="single" w:color="auto" w:sz="8" w:space="0"/>
              <w:right w:val="single" w:color="auto" w:sz="8" w:space="0"/>
            </w:tcBorders>
            <w:shd w:val="clear" w:color="auto" w:fill="auto"/>
            <w:noWrap/>
            <w:vAlign w:val="center"/>
            <w:hideMark/>
          </w:tcPr>
          <w:p w:rsidRPr="00B7014C" w:rsidR="00063E63" w:rsidP="006F7733" w:rsidRDefault="00063E63" w14:paraId="0A2DD236" w14:textId="77777777">
            <w:pPr>
              <w:rPr>
                <w:color w:val="000000"/>
                <w:sz w:val="22"/>
                <w:szCs w:val="22"/>
                <w:lang w:eastAsia="en-GB"/>
              </w:rPr>
            </w:pPr>
            <w:r w:rsidRPr="00B7014C">
              <w:rPr>
                <w:color w:val="000000"/>
                <w:sz w:val="22"/>
                <w:szCs w:val="22"/>
                <w:lang w:eastAsia="en-GB"/>
              </w:rPr>
              <w:t>Residents of Barnet</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1AE60642" w14:textId="77777777">
            <w:pPr>
              <w:jc w:val="center"/>
              <w:rPr>
                <w:color w:val="000000"/>
                <w:sz w:val="22"/>
                <w:szCs w:val="22"/>
                <w:lang w:eastAsia="en-GB"/>
              </w:rPr>
            </w:pPr>
            <w:r w:rsidRPr="00B7014C">
              <w:rPr>
                <w:color w:val="000000"/>
                <w:sz w:val="22"/>
                <w:szCs w:val="22"/>
                <w:lang w:eastAsia="en-GB"/>
              </w:rPr>
              <w:t>205</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058AE500" w14:textId="77777777">
            <w:pPr>
              <w:jc w:val="center"/>
              <w:rPr>
                <w:color w:val="000000"/>
                <w:sz w:val="22"/>
                <w:szCs w:val="22"/>
                <w:lang w:eastAsia="en-GB"/>
              </w:rPr>
            </w:pPr>
            <w:r w:rsidRPr="00B7014C">
              <w:rPr>
                <w:color w:val="000000"/>
                <w:sz w:val="22"/>
                <w:szCs w:val="22"/>
                <w:lang w:eastAsia="en-GB"/>
              </w:rPr>
              <w:t>204</w:t>
            </w:r>
          </w:p>
        </w:tc>
        <w:tc>
          <w:tcPr>
            <w:tcW w:w="595"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3C7FEE5E" w14:textId="77777777">
            <w:pPr>
              <w:jc w:val="center"/>
              <w:rPr>
                <w:color w:val="000000"/>
                <w:sz w:val="22"/>
                <w:szCs w:val="22"/>
                <w:lang w:eastAsia="en-GB"/>
              </w:rPr>
            </w:pPr>
            <w:r w:rsidRPr="00B7014C">
              <w:rPr>
                <w:color w:val="000000"/>
                <w:sz w:val="22"/>
                <w:szCs w:val="22"/>
                <w:lang w:eastAsia="en-GB"/>
              </w:rPr>
              <w:t>211</w:t>
            </w:r>
          </w:p>
        </w:tc>
        <w:tc>
          <w:tcPr>
            <w:tcW w:w="594" w:type="pct"/>
            <w:tcBorders>
              <w:top w:val="nil"/>
              <w:left w:val="nil"/>
              <w:bottom w:val="single" w:color="auto" w:sz="8" w:space="0"/>
              <w:right w:val="single" w:color="auto" w:sz="8" w:space="0"/>
            </w:tcBorders>
            <w:vAlign w:val="center"/>
          </w:tcPr>
          <w:p w:rsidRPr="00B7014C" w:rsidR="00063E63" w:rsidP="00063E63" w:rsidRDefault="00C06C1F" w14:paraId="17927714" w14:textId="0C8CEB70">
            <w:pPr>
              <w:jc w:val="center"/>
              <w:rPr>
                <w:color w:val="000000"/>
                <w:sz w:val="22"/>
                <w:szCs w:val="22"/>
                <w:lang w:eastAsia="en-GB"/>
              </w:rPr>
            </w:pPr>
            <w:r w:rsidRPr="00B7014C">
              <w:rPr>
                <w:color w:val="000000"/>
                <w:sz w:val="22"/>
                <w:szCs w:val="22"/>
                <w:lang w:eastAsia="en-GB"/>
              </w:rPr>
              <w:t>223</w:t>
            </w:r>
          </w:p>
        </w:tc>
      </w:tr>
      <w:tr w:rsidRPr="00B7014C" w:rsidR="00063E63" w:rsidTr="00063E63" w14:paraId="60088C8C" w14:textId="4935DA1F">
        <w:trPr>
          <w:trHeight w:val="315"/>
        </w:trPr>
        <w:tc>
          <w:tcPr>
            <w:tcW w:w="2623" w:type="pct"/>
            <w:tcBorders>
              <w:top w:val="nil"/>
              <w:left w:val="single" w:color="auto" w:sz="8" w:space="0"/>
              <w:bottom w:val="single" w:color="auto" w:sz="8" w:space="0"/>
              <w:right w:val="single" w:color="auto" w:sz="8" w:space="0"/>
            </w:tcBorders>
            <w:shd w:val="clear" w:color="auto" w:fill="auto"/>
            <w:noWrap/>
            <w:vAlign w:val="center"/>
            <w:hideMark/>
          </w:tcPr>
          <w:p w:rsidRPr="00B7014C" w:rsidR="00063E63" w:rsidP="006F7733" w:rsidRDefault="00063E63" w14:paraId="77419C3A" w14:textId="77777777">
            <w:pPr>
              <w:rPr>
                <w:color w:val="000000"/>
                <w:sz w:val="22"/>
                <w:szCs w:val="22"/>
                <w:lang w:eastAsia="en-GB"/>
              </w:rPr>
            </w:pPr>
            <w:r w:rsidRPr="00B7014C">
              <w:rPr>
                <w:color w:val="000000"/>
                <w:sz w:val="22"/>
                <w:szCs w:val="22"/>
                <w:lang w:eastAsia="en-GB"/>
              </w:rPr>
              <w:t xml:space="preserve">Other </w:t>
            </w:r>
            <w:proofErr w:type="spellStart"/>
            <w:r w:rsidRPr="00B7014C">
              <w:rPr>
                <w:color w:val="000000"/>
                <w:sz w:val="22"/>
                <w:szCs w:val="22"/>
                <w:lang w:eastAsia="en-GB"/>
              </w:rPr>
              <w:t>LAs</w:t>
            </w:r>
            <w:proofErr w:type="spellEnd"/>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2B135CC0" w14:textId="77777777">
            <w:pPr>
              <w:jc w:val="center"/>
              <w:rPr>
                <w:color w:val="000000"/>
                <w:sz w:val="22"/>
                <w:szCs w:val="22"/>
                <w:lang w:eastAsia="en-GB"/>
              </w:rPr>
            </w:pPr>
            <w:r w:rsidRPr="00B7014C">
              <w:rPr>
                <w:color w:val="000000"/>
                <w:sz w:val="22"/>
                <w:szCs w:val="22"/>
                <w:lang w:eastAsia="en-GB"/>
              </w:rPr>
              <w:t>42</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20D9F902" w14:textId="77777777">
            <w:pPr>
              <w:jc w:val="center"/>
              <w:rPr>
                <w:color w:val="000000"/>
                <w:sz w:val="22"/>
                <w:szCs w:val="22"/>
                <w:lang w:eastAsia="en-GB"/>
              </w:rPr>
            </w:pPr>
            <w:r w:rsidRPr="00B7014C">
              <w:rPr>
                <w:color w:val="000000"/>
                <w:sz w:val="22"/>
                <w:szCs w:val="22"/>
                <w:lang w:eastAsia="en-GB"/>
              </w:rPr>
              <w:t>36</w:t>
            </w:r>
          </w:p>
        </w:tc>
        <w:tc>
          <w:tcPr>
            <w:tcW w:w="595"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65329199" w14:textId="77777777">
            <w:pPr>
              <w:jc w:val="center"/>
              <w:rPr>
                <w:color w:val="000000"/>
                <w:sz w:val="22"/>
                <w:szCs w:val="22"/>
                <w:lang w:eastAsia="en-GB"/>
              </w:rPr>
            </w:pPr>
            <w:r w:rsidRPr="00B7014C">
              <w:rPr>
                <w:color w:val="000000"/>
                <w:sz w:val="22"/>
                <w:szCs w:val="22"/>
                <w:lang w:eastAsia="en-GB"/>
              </w:rPr>
              <w:t>48</w:t>
            </w:r>
          </w:p>
        </w:tc>
        <w:tc>
          <w:tcPr>
            <w:tcW w:w="594" w:type="pct"/>
            <w:tcBorders>
              <w:top w:val="nil"/>
              <w:left w:val="nil"/>
              <w:bottom w:val="single" w:color="auto" w:sz="8" w:space="0"/>
              <w:right w:val="single" w:color="auto" w:sz="8" w:space="0"/>
            </w:tcBorders>
            <w:vAlign w:val="center"/>
          </w:tcPr>
          <w:p w:rsidRPr="00B7014C" w:rsidR="00063E63" w:rsidP="00063E63" w:rsidRDefault="00C06C1F" w14:paraId="31FDA497" w14:textId="0FCA5B1F">
            <w:pPr>
              <w:jc w:val="center"/>
              <w:rPr>
                <w:color w:val="000000"/>
                <w:sz w:val="22"/>
                <w:szCs w:val="22"/>
                <w:lang w:eastAsia="en-GB"/>
              </w:rPr>
            </w:pPr>
            <w:r w:rsidRPr="00B7014C">
              <w:rPr>
                <w:color w:val="000000"/>
                <w:sz w:val="22"/>
                <w:szCs w:val="22"/>
                <w:lang w:eastAsia="en-GB"/>
              </w:rPr>
              <w:t>48</w:t>
            </w:r>
          </w:p>
        </w:tc>
      </w:tr>
      <w:tr w:rsidRPr="00B7014C" w:rsidR="00063E63" w:rsidTr="00063E63" w14:paraId="18B734F1" w14:textId="0C23AF40">
        <w:trPr>
          <w:trHeight w:val="315"/>
        </w:trPr>
        <w:tc>
          <w:tcPr>
            <w:tcW w:w="2623" w:type="pct"/>
            <w:tcBorders>
              <w:top w:val="nil"/>
              <w:left w:val="single" w:color="auto" w:sz="8" w:space="0"/>
              <w:bottom w:val="single" w:color="auto" w:sz="8" w:space="0"/>
              <w:right w:val="single" w:color="auto" w:sz="8" w:space="0"/>
            </w:tcBorders>
            <w:shd w:val="clear" w:color="auto" w:fill="auto"/>
            <w:noWrap/>
            <w:vAlign w:val="center"/>
            <w:hideMark/>
          </w:tcPr>
          <w:p w:rsidRPr="00B7014C" w:rsidR="00063E63" w:rsidP="006F7733" w:rsidRDefault="00063E63" w14:paraId="4304BB43" w14:textId="77777777">
            <w:pPr>
              <w:rPr>
                <w:color w:val="000000"/>
                <w:sz w:val="22"/>
                <w:szCs w:val="22"/>
                <w:lang w:eastAsia="en-GB"/>
              </w:rPr>
            </w:pPr>
            <w:r w:rsidRPr="00B7014C">
              <w:rPr>
                <w:color w:val="000000"/>
                <w:sz w:val="22"/>
                <w:szCs w:val="22"/>
                <w:lang w:eastAsia="en-GB"/>
              </w:rPr>
              <w:t>Unknown*</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2790E277" w14:textId="77777777">
            <w:pPr>
              <w:jc w:val="center"/>
              <w:rPr>
                <w:color w:val="000000"/>
                <w:sz w:val="22"/>
                <w:szCs w:val="22"/>
                <w:lang w:eastAsia="en-GB"/>
              </w:rPr>
            </w:pPr>
            <w:r w:rsidRPr="00B7014C">
              <w:rPr>
                <w:color w:val="000000"/>
                <w:sz w:val="22"/>
                <w:szCs w:val="22"/>
                <w:lang w:eastAsia="en-GB"/>
              </w:rPr>
              <w:t>9</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7C4CC2FF" w14:textId="77777777">
            <w:pPr>
              <w:jc w:val="center"/>
              <w:rPr>
                <w:color w:val="000000"/>
                <w:sz w:val="22"/>
                <w:szCs w:val="22"/>
                <w:lang w:eastAsia="en-GB"/>
              </w:rPr>
            </w:pPr>
            <w:r w:rsidRPr="00B7014C">
              <w:rPr>
                <w:color w:val="000000"/>
                <w:sz w:val="22"/>
                <w:szCs w:val="22"/>
                <w:lang w:eastAsia="en-GB"/>
              </w:rPr>
              <w:t>6</w:t>
            </w:r>
          </w:p>
        </w:tc>
        <w:tc>
          <w:tcPr>
            <w:tcW w:w="595"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27E1B3B0" w14:textId="77777777">
            <w:pPr>
              <w:jc w:val="center"/>
              <w:rPr>
                <w:color w:val="000000"/>
                <w:sz w:val="22"/>
                <w:szCs w:val="22"/>
                <w:lang w:eastAsia="en-GB"/>
              </w:rPr>
            </w:pPr>
            <w:r w:rsidRPr="00B7014C">
              <w:rPr>
                <w:color w:val="000000"/>
                <w:sz w:val="22"/>
                <w:szCs w:val="22"/>
                <w:lang w:eastAsia="en-GB"/>
              </w:rPr>
              <w:t>2</w:t>
            </w:r>
          </w:p>
        </w:tc>
        <w:tc>
          <w:tcPr>
            <w:tcW w:w="594" w:type="pct"/>
            <w:tcBorders>
              <w:top w:val="nil"/>
              <w:left w:val="nil"/>
              <w:bottom w:val="single" w:color="auto" w:sz="8" w:space="0"/>
              <w:right w:val="single" w:color="auto" w:sz="8" w:space="0"/>
            </w:tcBorders>
            <w:vAlign w:val="center"/>
          </w:tcPr>
          <w:p w:rsidRPr="00B7014C" w:rsidR="00063E63" w:rsidP="00063E63" w:rsidRDefault="009B62DC" w14:paraId="5006DC4D" w14:textId="163017CC">
            <w:pPr>
              <w:jc w:val="center"/>
              <w:rPr>
                <w:color w:val="000000"/>
                <w:sz w:val="22"/>
                <w:szCs w:val="22"/>
                <w:lang w:eastAsia="en-GB"/>
              </w:rPr>
            </w:pPr>
            <w:r w:rsidRPr="00B7014C">
              <w:rPr>
                <w:color w:val="000000"/>
                <w:sz w:val="22"/>
                <w:szCs w:val="22"/>
                <w:lang w:eastAsia="en-GB"/>
              </w:rPr>
              <w:t>6</w:t>
            </w:r>
          </w:p>
        </w:tc>
      </w:tr>
      <w:tr w:rsidRPr="00B7014C" w:rsidR="00063E63" w:rsidTr="00063E63" w14:paraId="31B9C605" w14:textId="7D2CEC61">
        <w:trPr>
          <w:trHeight w:val="330"/>
        </w:trPr>
        <w:tc>
          <w:tcPr>
            <w:tcW w:w="2623" w:type="pct"/>
            <w:tcBorders>
              <w:top w:val="nil"/>
              <w:left w:val="single" w:color="auto" w:sz="8" w:space="0"/>
              <w:bottom w:val="single" w:color="auto" w:sz="8" w:space="0"/>
              <w:right w:val="single" w:color="auto" w:sz="8" w:space="0"/>
            </w:tcBorders>
            <w:shd w:val="clear" w:color="auto" w:fill="auto"/>
            <w:noWrap/>
            <w:vAlign w:val="center"/>
            <w:hideMark/>
          </w:tcPr>
          <w:p w:rsidRPr="00B7014C" w:rsidR="00063E63" w:rsidP="006F7733" w:rsidRDefault="00063E63" w14:paraId="4776B866" w14:textId="77777777">
            <w:pPr>
              <w:rPr>
                <w:b/>
                <w:bCs/>
                <w:color w:val="000000"/>
                <w:sz w:val="22"/>
                <w:szCs w:val="22"/>
                <w:lang w:eastAsia="en-GB"/>
              </w:rPr>
            </w:pPr>
            <w:r w:rsidRPr="00B7014C">
              <w:rPr>
                <w:b/>
                <w:bCs/>
                <w:color w:val="000000"/>
                <w:sz w:val="22"/>
                <w:szCs w:val="22"/>
                <w:lang w:eastAsia="en-GB"/>
              </w:rPr>
              <w:t>Total out of borough pupils imported</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308CF965" w14:textId="77777777">
            <w:pPr>
              <w:jc w:val="center"/>
              <w:rPr>
                <w:b/>
                <w:bCs/>
                <w:color w:val="000000"/>
                <w:sz w:val="22"/>
                <w:szCs w:val="22"/>
                <w:lang w:eastAsia="en-GB"/>
              </w:rPr>
            </w:pPr>
            <w:r w:rsidRPr="00B7014C">
              <w:rPr>
                <w:b/>
                <w:bCs/>
                <w:color w:val="000000"/>
                <w:sz w:val="22"/>
                <w:szCs w:val="22"/>
                <w:lang w:eastAsia="en-GB"/>
              </w:rPr>
              <w:t>2,060</w:t>
            </w:r>
          </w:p>
        </w:tc>
        <w:tc>
          <w:tcPr>
            <w:tcW w:w="594"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2B487774" w14:textId="77777777">
            <w:pPr>
              <w:jc w:val="center"/>
              <w:rPr>
                <w:b/>
                <w:bCs/>
                <w:color w:val="000000"/>
                <w:sz w:val="22"/>
                <w:szCs w:val="22"/>
                <w:lang w:eastAsia="en-GB"/>
              </w:rPr>
            </w:pPr>
            <w:r w:rsidRPr="00B7014C">
              <w:rPr>
                <w:b/>
                <w:bCs/>
                <w:color w:val="000000"/>
                <w:sz w:val="22"/>
                <w:szCs w:val="22"/>
                <w:lang w:eastAsia="en-GB"/>
              </w:rPr>
              <w:t>2,110</w:t>
            </w:r>
          </w:p>
        </w:tc>
        <w:tc>
          <w:tcPr>
            <w:tcW w:w="595" w:type="pct"/>
            <w:tcBorders>
              <w:top w:val="nil"/>
              <w:left w:val="nil"/>
              <w:bottom w:val="single" w:color="auto" w:sz="8" w:space="0"/>
              <w:right w:val="single" w:color="auto" w:sz="8" w:space="0"/>
            </w:tcBorders>
            <w:shd w:val="clear" w:color="auto" w:fill="auto"/>
            <w:noWrap/>
            <w:vAlign w:val="center"/>
            <w:hideMark/>
          </w:tcPr>
          <w:p w:rsidRPr="00B7014C" w:rsidR="00063E63" w:rsidP="00063E63" w:rsidRDefault="00063E63" w14:paraId="161B55DD" w14:textId="77777777">
            <w:pPr>
              <w:jc w:val="center"/>
              <w:rPr>
                <w:b/>
                <w:bCs/>
                <w:color w:val="000000"/>
                <w:sz w:val="22"/>
                <w:szCs w:val="22"/>
                <w:lang w:eastAsia="en-GB"/>
              </w:rPr>
            </w:pPr>
            <w:r w:rsidRPr="00B7014C">
              <w:rPr>
                <w:b/>
                <w:bCs/>
                <w:color w:val="000000"/>
                <w:sz w:val="22"/>
                <w:szCs w:val="22"/>
                <w:lang w:eastAsia="en-GB"/>
              </w:rPr>
              <w:t>2,296</w:t>
            </w:r>
          </w:p>
        </w:tc>
        <w:tc>
          <w:tcPr>
            <w:tcW w:w="594" w:type="pct"/>
            <w:tcBorders>
              <w:top w:val="nil"/>
              <w:left w:val="nil"/>
              <w:bottom w:val="single" w:color="auto" w:sz="8" w:space="0"/>
              <w:right w:val="single" w:color="auto" w:sz="8" w:space="0"/>
            </w:tcBorders>
            <w:vAlign w:val="center"/>
          </w:tcPr>
          <w:p w:rsidRPr="00B7014C" w:rsidR="00063E63" w:rsidP="00063E63" w:rsidRDefault="00C06C1F" w14:paraId="3F752D8A" w14:textId="1789EDDB">
            <w:pPr>
              <w:jc w:val="center"/>
              <w:rPr>
                <w:b/>
                <w:bCs/>
                <w:color w:val="000000"/>
                <w:sz w:val="22"/>
                <w:szCs w:val="22"/>
                <w:lang w:eastAsia="en-GB"/>
              </w:rPr>
            </w:pPr>
            <w:r w:rsidRPr="00B7014C">
              <w:rPr>
                <w:b/>
                <w:bCs/>
                <w:color w:val="000000"/>
                <w:sz w:val="22"/>
                <w:szCs w:val="22"/>
                <w:lang w:eastAsia="en-GB"/>
              </w:rPr>
              <w:t>2,256</w:t>
            </w:r>
          </w:p>
        </w:tc>
      </w:tr>
    </w:tbl>
    <w:p w:rsidRPr="00B7014C" w:rsidR="00A16979" w:rsidP="00A16979" w:rsidRDefault="00A16979" w14:paraId="0DD8950B" w14:textId="77777777">
      <w:pPr>
        <w:rPr>
          <w:sz w:val="20"/>
          <w:szCs w:val="20"/>
        </w:rPr>
      </w:pPr>
      <w:r w:rsidRPr="00B7014C">
        <w:rPr>
          <w:sz w:val="20"/>
          <w:szCs w:val="20"/>
        </w:rPr>
        <w:t xml:space="preserve">Source: DfE </w:t>
      </w:r>
      <w:proofErr w:type="spellStart"/>
      <w:r w:rsidRPr="00B7014C">
        <w:rPr>
          <w:sz w:val="20"/>
          <w:szCs w:val="20"/>
        </w:rPr>
        <w:t>SFR</w:t>
      </w:r>
      <w:proofErr w:type="spellEnd"/>
      <w:r w:rsidRPr="00B7014C">
        <w:rPr>
          <w:sz w:val="20"/>
          <w:szCs w:val="20"/>
        </w:rPr>
        <w:t xml:space="preserve"> Cross Border Movement</w:t>
      </w:r>
    </w:p>
    <w:p w:rsidRPr="00B7014C" w:rsidR="00482ACA" w:rsidP="00482ACA" w:rsidRDefault="00482ACA" w14:paraId="6A8F9A63" w14:textId="0853DCAE">
      <w:r w:rsidRPr="00B7014C">
        <w:rPr>
          <w:sz w:val="20"/>
          <w:szCs w:val="20"/>
        </w:rPr>
        <w:t>*</w:t>
      </w:r>
      <w:r w:rsidRPr="00B7014C">
        <w:t xml:space="preserve"> </w:t>
      </w:r>
      <w:r w:rsidRPr="00B7014C">
        <w:rPr>
          <w:sz w:val="20"/>
          <w:szCs w:val="20"/>
        </w:rPr>
        <w:t xml:space="preserve">Includes pupils with invalid postcodes </w:t>
      </w:r>
    </w:p>
    <w:p w:rsidRPr="00B7014C" w:rsidR="00A16979" w:rsidP="00A16979" w:rsidRDefault="00A16979" w14:paraId="48DA88EF" w14:textId="77777777"/>
    <w:p w:rsidRPr="00B7014C" w:rsidR="00A16979" w:rsidP="00A16979" w:rsidRDefault="00A16979" w14:paraId="02C40CAC" w14:textId="2AD7D050">
      <w:pPr>
        <w:rPr>
          <w:b/>
        </w:rPr>
      </w:pPr>
      <w:r w:rsidRPr="00B7014C">
        <w:rPr>
          <w:b/>
        </w:rPr>
        <w:t>Harrow secondary schools</w:t>
      </w:r>
      <w:r w:rsidR="00591A6D">
        <w:rPr>
          <w:b/>
        </w:rPr>
        <w:t>’</w:t>
      </w:r>
      <w:r w:rsidRPr="00B7014C">
        <w:rPr>
          <w:b/>
        </w:rPr>
        <w:t xml:space="preserve"> pupils’ borough of residence</w:t>
      </w:r>
    </w:p>
    <w:p w:rsidRPr="00B7014C" w:rsidR="00A16979" w:rsidP="00A16979" w:rsidRDefault="00A16979" w14:paraId="0C639F1A" w14:textId="02291E31">
      <w:r w:rsidRPr="00B7014C">
        <w:t>As at January 20</w:t>
      </w:r>
      <w:r w:rsidRPr="00B7014C" w:rsidR="00A63834">
        <w:t>2</w:t>
      </w:r>
      <w:r w:rsidRPr="00B7014C" w:rsidR="00225CC4">
        <w:t>1</w:t>
      </w:r>
      <w:r w:rsidRPr="00B7014C">
        <w:t>, there were</w:t>
      </w:r>
      <w:r w:rsidRPr="00B7014C" w:rsidR="00E1055A">
        <w:t xml:space="preserve"> </w:t>
      </w:r>
      <w:r w:rsidRPr="00B7014C" w:rsidR="004D48CF">
        <w:t>12,836</w:t>
      </w:r>
      <w:r w:rsidRPr="00B7014C">
        <w:t xml:space="preserve"> pupils on roll (</w:t>
      </w:r>
      <w:r w:rsidRPr="00B7014C" w:rsidR="00225CC4">
        <w:t>12,458</w:t>
      </w:r>
      <w:r w:rsidRPr="00B7014C" w:rsidR="00E1055A">
        <w:t xml:space="preserve"> </w:t>
      </w:r>
      <w:r w:rsidRPr="00B7014C">
        <w:t>pupils in January 20</w:t>
      </w:r>
      <w:r w:rsidRPr="00B7014C" w:rsidR="00225CC4">
        <w:t>20</w:t>
      </w:r>
      <w:r w:rsidRPr="00B7014C">
        <w:t xml:space="preserve">) in Years 7 to 11 in Harrow’s 12 secondary and 1 all through schools.  </w:t>
      </w:r>
    </w:p>
    <w:p w:rsidRPr="00B7014C" w:rsidR="00A16979" w:rsidP="00A16979" w:rsidRDefault="00A16979" w14:paraId="64DB6FB3" w14:textId="77777777"/>
    <w:p w:rsidRPr="00B7014C" w:rsidR="00FA054D" w:rsidP="00A16979" w:rsidRDefault="00A16979" w14:paraId="61EE78D8" w14:textId="29460065">
      <w:r w:rsidRPr="00B7014C">
        <w:t xml:space="preserve">The number of out of borough secondary aged pupils attending Harrow schools </w:t>
      </w:r>
      <w:r w:rsidRPr="00B7014C" w:rsidR="007B01EC">
        <w:t xml:space="preserve">has continued to </w:t>
      </w:r>
      <w:r w:rsidRPr="00B7014C">
        <w:t xml:space="preserve">increase </w:t>
      </w:r>
      <w:r w:rsidRPr="00B7014C" w:rsidR="00E1055A">
        <w:t xml:space="preserve">from 2,048 in January 2017 </w:t>
      </w:r>
      <w:r w:rsidRPr="00B7014C">
        <w:t xml:space="preserve">to </w:t>
      </w:r>
      <w:r w:rsidRPr="00B7014C" w:rsidR="00E37A04">
        <w:t>2,511 in January 2021</w:t>
      </w:r>
      <w:r w:rsidRPr="00B7014C" w:rsidR="007B01EC">
        <w:t xml:space="preserve">, </w:t>
      </w:r>
      <w:r w:rsidRPr="00B7014C" w:rsidR="00DD3DF7">
        <w:t>a 23% increase</w:t>
      </w:r>
      <w:r w:rsidRPr="00B7014C" w:rsidR="00A63834">
        <w:t>.</w:t>
      </w:r>
    </w:p>
    <w:p w:rsidRPr="00B7014C" w:rsidR="00FA054D" w:rsidP="00A16979" w:rsidRDefault="00FA054D" w14:paraId="2F420EFD" w14:textId="77777777"/>
    <w:tbl>
      <w:tblPr>
        <w:tblStyle w:val="TableGrid"/>
        <w:tblW w:w="0" w:type="auto"/>
        <w:tblLook w:val="04A0" w:firstRow="1" w:lastRow="0" w:firstColumn="1" w:lastColumn="0" w:noHBand="0" w:noVBand="1"/>
      </w:tblPr>
      <w:tblGrid>
        <w:gridCol w:w="1524"/>
        <w:gridCol w:w="951"/>
        <w:gridCol w:w="951"/>
        <w:gridCol w:w="951"/>
        <w:gridCol w:w="951"/>
        <w:gridCol w:w="951"/>
      </w:tblGrid>
      <w:tr w:rsidRPr="00B7014C" w:rsidR="00857258" w:rsidTr="00AF6D13" w14:paraId="0DE2E71F" w14:textId="77777777">
        <w:tc>
          <w:tcPr>
            <w:tcW w:w="1524" w:type="dxa"/>
          </w:tcPr>
          <w:p w:rsidRPr="00B7014C" w:rsidR="00857258" w:rsidP="00A16979" w:rsidRDefault="00857258" w14:paraId="4AC2CE68" w14:textId="759D3AF5">
            <w:pPr>
              <w:rPr>
                <w:b/>
                <w:bCs/>
              </w:rPr>
            </w:pPr>
            <w:r w:rsidRPr="00B7014C">
              <w:rPr>
                <w:b/>
                <w:bCs/>
              </w:rPr>
              <w:t>January</w:t>
            </w:r>
          </w:p>
        </w:tc>
        <w:tc>
          <w:tcPr>
            <w:tcW w:w="951" w:type="dxa"/>
          </w:tcPr>
          <w:p w:rsidRPr="00B7014C" w:rsidR="00857258" w:rsidP="00A16979" w:rsidRDefault="00857258" w14:paraId="2E75373C" w14:textId="302D1217">
            <w:pPr>
              <w:rPr>
                <w:b/>
                <w:bCs/>
              </w:rPr>
            </w:pPr>
            <w:r w:rsidRPr="00B7014C">
              <w:rPr>
                <w:b/>
                <w:bCs/>
              </w:rPr>
              <w:t>2017</w:t>
            </w:r>
          </w:p>
        </w:tc>
        <w:tc>
          <w:tcPr>
            <w:tcW w:w="951" w:type="dxa"/>
          </w:tcPr>
          <w:p w:rsidRPr="00B7014C" w:rsidR="00857258" w:rsidP="00A16979" w:rsidRDefault="00857258" w14:paraId="61D4CF43" w14:textId="5AC9FC62">
            <w:pPr>
              <w:rPr>
                <w:b/>
                <w:bCs/>
              </w:rPr>
            </w:pPr>
            <w:r w:rsidRPr="00B7014C">
              <w:rPr>
                <w:b/>
                <w:bCs/>
              </w:rPr>
              <w:t>2018</w:t>
            </w:r>
          </w:p>
        </w:tc>
        <w:tc>
          <w:tcPr>
            <w:tcW w:w="951" w:type="dxa"/>
          </w:tcPr>
          <w:p w:rsidRPr="00B7014C" w:rsidR="00857258" w:rsidP="00A16979" w:rsidRDefault="00857258" w14:paraId="3C202EB5" w14:textId="4B4234AC">
            <w:pPr>
              <w:rPr>
                <w:b/>
                <w:bCs/>
              </w:rPr>
            </w:pPr>
            <w:r w:rsidRPr="00B7014C">
              <w:rPr>
                <w:b/>
                <w:bCs/>
              </w:rPr>
              <w:t>2019</w:t>
            </w:r>
          </w:p>
        </w:tc>
        <w:tc>
          <w:tcPr>
            <w:tcW w:w="951" w:type="dxa"/>
          </w:tcPr>
          <w:p w:rsidRPr="00B7014C" w:rsidR="00857258" w:rsidP="00A16979" w:rsidRDefault="00857258" w14:paraId="39ACA8C6" w14:textId="52A65C48">
            <w:pPr>
              <w:rPr>
                <w:b/>
                <w:bCs/>
              </w:rPr>
            </w:pPr>
            <w:r w:rsidRPr="00B7014C">
              <w:rPr>
                <w:b/>
                <w:bCs/>
              </w:rPr>
              <w:t>2020</w:t>
            </w:r>
          </w:p>
        </w:tc>
        <w:tc>
          <w:tcPr>
            <w:tcW w:w="951" w:type="dxa"/>
          </w:tcPr>
          <w:p w:rsidRPr="00B7014C" w:rsidR="00857258" w:rsidP="00A16979" w:rsidRDefault="00857258" w14:paraId="2FD397A9" w14:textId="4517B105">
            <w:pPr>
              <w:rPr>
                <w:b/>
                <w:bCs/>
              </w:rPr>
            </w:pPr>
            <w:r w:rsidRPr="00B7014C">
              <w:rPr>
                <w:b/>
                <w:bCs/>
              </w:rPr>
              <w:t>2021</w:t>
            </w:r>
          </w:p>
        </w:tc>
      </w:tr>
      <w:tr w:rsidRPr="00B7014C" w:rsidR="00AF6D13" w:rsidTr="00AF6D13" w14:paraId="006C5474" w14:textId="77777777">
        <w:tc>
          <w:tcPr>
            <w:tcW w:w="1524" w:type="dxa"/>
          </w:tcPr>
          <w:p w:rsidRPr="00B7014C" w:rsidR="00AF6D13" w:rsidP="00AF6D13" w:rsidRDefault="00AF6D13" w14:paraId="54C94336" w14:textId="2B3F66BB">
            <w:proofErr w:type="spellStart"/>
            <w:r w:rsidRPr="00B7014C">
              <w:t>OoB</w:t>
            </w:r>
            <w:proofErr w:type="spellEnd"/>
            <w:r w:rsidRPr="00B7014C">
              <w:t xml:space="preserve"> pupils</w:t>
            </w:r>
          </w:p>
        </w:tc>
        <w:tc>
          <w:tcPr>
            <w:tcW w:w="951" w:type="dxa"/>
          </w:tcPr>
          <w:p w:rsidRPr="00B7014C" w:rsidR="00AF6D13" w:rsidP="00AF6D13" w:rsidRDefault="00AF6D13" w14:paraId="48245C3D" w14:textId="2CD08C55">
            <w:r w:rsidRPr="00B7014C">
              <w:t>2,048</w:t>
            </w:r>
          </w:p>
        </w:tc>
        <w:tc>
          <w:tcPr>
            <w:tcW w:w="951" w:type="dxa"/>
          </w:tcPr>
          <w:p w:rsidRPr="00B7014C" w:rsidR="00AF6D13" w:rsidP="00AF6D13" w:rsidRDefault="00AF6D13" w14:paraId="35F36009" w14:textId="1738AFF3">
            <w:r w:rsidRPr="00B7014C">
              <w:t>2,134</w:t>
            </w:r>
          </w:p>
        </w:tc>
        <w:tc>
          <w:tcPr>
            <w:tcW w:w="951" w:type="dxa"/>
          </w:tcPr>
          <w:p w:rsidRPr="00B7014C" w:rsidR="00AF6D13" w:rsidP="00AF6D13" w:rsidRDefault="00AF6D13" w14:paraId="54B804DF" w14:textId="3E7EAF61">
            <w:r w:rsidRPr="00B7014C">
              <w:t>2,335</w:t>
            </w:r>
          </w:p>
        </w:tc>
        <w:tc>
          <w:tcPr>
            <w:tcW w:w="951" w:type="dxa"/>
          </w:tcPr>
          <w:p w:rsidRPr="00B7014C" w:rsidR="00AF6D13" w:rsidP="00AF6D13" w:rsidRDefault="00AF6D13" w14:paraId="329FC36B" w14:textId="1D1B00DF">
            <w:r w:rsidRPr="00B7014C">
              <w:t>2,468</w:t>
            </w:r>
          </w:p>
        </w:tc>
        <w:tc>
          <w:tcPr>
            <w:tcW w:w="951" w:type="dxa"/>
          </w:tcPr>
          <w:p w:rsidRPr="00B7014C" w:rsidR="00AF6D13" w:rsidP="00AF6D13" w:rsidRDefault="00AF6D13" w14:paraId="3618A2A2" w14:textId="219884CE">
            <w:r w:rsidRPr="00B7014C">
              <w:t>2,511</w:t>
            </w:r>
          </w:p>
        </w:tc>
      </w:tr>
    </w:tbl>
    <w:p w:rsidRPr="00B7014C" w:rsidR="00A16979" w:rsidP="00A16979" w:rsidRDefault="00A16979" w14:paraId="51591C43" w14:textId="149EE84A">
      <w:r w:rsidRPr="00B7014C">
        <w:t xml:space="preserve">  </w:t>
      </w:r>
    </w:p>
    <w:p w:rsidRPr="00B7014C" w:rsidR="00A16979" w:rsidP="00A16979" w:rsidRDefault="00FC14D1" w14:paraId="687D1CBD" w14:textId="4CAF714B">
      <w:r w:rsidRPr="00B7014C">
        <w:t>Table 6</w:t>
      </w:r>
      <w:r w:rsidRPr="00B7014C" w:rsidR="00A16979">
        <w:t xml:space="preserve"> below shows that a majority of Harrow’s high school pupils reside in the borough of Harrow.  </w:t>
      </w:r>
      <w:r w:rsidRPr="00B7014C" w:rsidR="00E75482">
        <w:t xml:space="preserve">In Harrow the </w:t>
      </w:r>
      <w:r w:rsidRPr="00B7014C" w:rsidR="00E229BB">
        <w:t xml:space="preserve">higher number of pupils </w:t>
      </w:r>
      <w:r w:rsidRPr="00B7014C" w:rsidR="00E75482">
        <w:t xml:space="preserve">live in </w:t>
      </w:r>
      <w:r w:rsidRPr="00B7014C" w:rsidR="00EE69A2">
        <w:t xml:space="preserve">following wards - </w:t>
      </w:r>
      <w:r w:rsidRPr="00B7014C" w:rsidR="00A16979">
        <w:t xml:space="preserve">Wealdstone </w:t>
      </w:r>
      <w:r w:rsidRPr="00B7014C" w:rsidR="00FA13CB">
        <w:t xml:space="preserve">746 </w:t>
      </w:r>
      <w:r w:rsidRPr="00B7014C" w:rsidR="00A16979">
        <w:t>(5.</w:t>
      </w:r>
      <w:r w:rsidRPr="00B7014C" w:rsidR="00FA13CB">
        <w:t>8</w:t>
      </w:r>
      <w:r w:rsidRPr="00B7014C" w:rsidR="00A16979">
        <w:t xml:space="preserve">%), Roxbourne </w:t>
      </w:r>
      <w:r w:rsidRPr="00B7014C" w:rsidR="00FA13CB">
        <w:t xml:space="preserve">699 </w:t>
      </w:r>
      <w:r w:rsidRPr="00B7014C" w:rsidR="00A16979">
        <w:t>(5.</w:t>
      </w:r>
      <w:r w:rsidRPr="00B7014C" w:rsidR="00FA13CB">
        <w:t>4</w:t>
      </w:r>
      <w:r w:rsidRPr="00B7014C" w:rsidR="00A16979">
        <w:t xml:space="preserve">%) and Marlborough </w:t>
      </w:r>
      <w:r w:rsidRPr="00B7014C" w:rsidR="00FA13CB">
        <w:t xml:space="preserve">652 </w:t>
      </w:r>
      <w:r w:rsidRPr="00B7014C" w:rsidR="00A16979">
        <w:t>(</w:t>
      </w:r>
      <w:r w:rsidRPr="00B7014C" w:rsidR="00FA13CB">
        <w:t>5.1</w:t>
      </w:r>
      <w:r w:rsidRPr="00B7014C" w:rsidR="00A16979">
        <w:t xml:space="preserve">%) wards, whereas less than </w:t>
      </w:r>
      <w:r w:rsidRPr="00B7014C" w:rsidR="00A63834">
        <w:t>300</w:t>
      </w:r>
      <w:r w:rsidRPr="00B7014C" w:rsidR="00A16979">
        <w:t xml:space="preserve"> pupils live in Hatch End </w:t>
      </w:r>
      <w:r w:rsidRPr="00B7014C" w:rsidR="00E4501A">
        <w:t xml:space="preserve">274 </w:t>
      </w:r>
      <w:r w:rsidRPr="00B7014C" w:rsidR="00A16979">
        <w:t xml:space="preserve">(2.1%) and Pinner </w:t>
      </w:r>
      <w:r w:rsidRPr="00B7014C" w:rsidR="00F17A65">
        <w:t xml:space="preserve">203 </w:t>
      </w:r>
      <w:r w:rsidRPr="00B7014C" w:rsidR="00A16979">
        <w:t>(1.</w:t>
      </w:r>
      <w:r w:rsidRPr="00B7014C" w:rsidR="00F17A65">
        <w:t>6</w:t>
      </w:r>
      <w:r w:rsidRPr="00B7014C" w:rsidR="00A16979">
        <w:t xml:space="preserve">%). </w:t>
      </w:r>
      <w:r w:rsidRPr="00B7014C" w:rsidR="00787560">
        <w:t>The highest number of pupils living outside the borough</w:t>
      </w:r>
      <w:r w:rsidRPr="00B7014C" w:rsidR="0027068E">
        <w:t xml:space="preserve"> reside in Brent – 865, 6.7%.</w:t>
      </w:r>
    </w:p>
    <w:p w:rsidRPr="00B7014C" w:rsidR="00A16979" w:rsidP="00A16979" w:rsidRDefault="00A16979" w14:paraId="22C467C9" w14:textId="77777777"/>
    <w:p w:rsidRPr="00B7014C" w:rsidR="00A16979" w:rsidP="00A16979" w:rsidRDefault="00A16979" w14:paraId="63CE5DCA" w14:textId="77777777"/>
    <w:p w:rsidRPr="00B7014C" w:rsidR="00A16979" w:rsidP="00A16979" w:rsidRDefault="00A16979" w14:paraId="7EF0EB11" w14:textId="72181A5D">
      <w:r w:rsidRPr="00B7014C">
        <w:br w:type="page"/>
      </w:r>
      <w:r w:rsidRPr="00B7014C">
        <w:lastRenderedPageBreak/>
        <w:t xml:space="preserve">Table </w:t>
      </w:r>
      <w:r w:rsidRPr="00B7014C" w:rsidR="00FC14D1">
        <w:t>6</w:t>
      </w:r>
      <w:r w:rsidRPr="00B7014C">
        <w:t>: Harrow schools’ Year 7 to Year 11 pupils Harrow ward of residence</w:t>
      </w:r>
    </w:p>
    <w:p w:rsidRPr="00B7014C" w:rsidR="00A16979" w:rsidP="00A16979" w:rsidRDefault="00A16979" w14:paraId="7B76DF76" w14:textId="2457565F">
      <w:r w:rsidRPr="00B7014C">
        <w:t>January 20</w:t>
      </w:r>
      <w:r w:rsidRPr="00B7014C" w:rsidR="00403C90">
        <w:t>2</w:t>
      </w:r>
      <w:r w:rsidRPr="00B7014C" w:rsidR="0040161F">
        <w:t>1</w:t>
      </w:r>
      <w:r w:rsidRPr="00B7014C">
        <w:t xml:space="preserve"> (January 20</w:t>
      </w:r>
      <w:r w:rsidRPr="00B7014C" w:rsidR="0040161F">
        <w:t>20</w:t>
      </w:r>
      <w:r w:rsidRPr="00B7014C">
        <w:t>)</w:t>
      </w:r>
    </w:p>
    <w:tbl>
      <w:tblPr>
        <w:tblW w:w="6980" w:type="dxa"/>
        <w:tblInd w:w="93" w:type="dxa"/>
        <w:tblLook w:val="04A0" w:firstRow="1" w:lastRow="0" w:firstColumn="1" w:lastColumn="0" w:noHBand="0" w:noVBand="1"/>
      </w:tblPr>
      <w:tblGrid>
        <w:gridCol w:w="2320"/>
        <w:gridCol w:w="2140"/>
        <w:gridCol w:w="2520"/>
      </w:tblGrid>
      <w:tr w:rsidRPr="00B7014C" w:rsidR="00403C90" w:rsidTr="00403C90" w14:paraId="642BFBAE" w14:textId="77777777">
        <w:trPr>
          <w:trHeight w:val="330" w:hRule="exact"/>
        </w:trPr>
        <w:tc>
          <w:tcPr>
            <w:tcW w:w="2320" w:type="dxa"/>
            <w:tcBorders>
              <w:top w:val="single" w:color="auto" w:sz="8" w:space="0"/>
              <w:left w:val="single" w:color="auto" w:sz="8" w:space="0"/>
              <w:bottom w:val="double" w:color="auto" w:sz="6" w:space="0"/>
              <w:right w:val="single" w:color="auto" w:sz="8" w:space="0"/>
            </w:tcBorders>
            <w:shd w:val="clear" w:color="auto" w:fill="auto"/>
            <w:noWrap/>
            <w:vAlign w:val="center"/>
            <w:hideMark/>
          </w:tcPr>
          <w:p w:rsidRPr="00B7014C" w:rsidR="00403C90" w:rsidP="00403C90" w:rsidRDefault="00403C90" w14:paraId="1376C3EF" w14:textId="77777777">
            <w:pPr>
              <w:rPr>
                <w:b/>
                <w:bCs/>
                <w:color w:val="000000"/>
                <w:sz w:val="22"/>
                <w:szCs w:val="22"/>
                <w:lang w:eastAsia="en-GB"/>
              </w:rPr>
            </w:pPr>
            <w:r w:rsidRPr="00B7014C">
              <w:rPr>
                <w:b/>
                <w:bCs/>
                <w:color w:val="000000"/>
                <w:sz w:val="22"/>
                <w:szCs w:val="22"/>
                <w:lang w:eastAsia="en-GB"/>
              </w:rPr>
              <w:t>Ward</w:t>
            </w:r>
          </w:p>
        </w:tc>
        <w:tc>
          <w:tcPr>
            <w:tcW w:w="2140" w:type="dxa"/>
            <w:tcBorders>
              <w:top w:val="single" w:color="auto" w:sz="8" w:space="0"/>
              <w:left w:val="nil"/>
              <w:bottom w:val="double" w:color="auto" w:sz="6" w:space="0"/>
              <w:right w:val="single" w:color="auto" w:sz="8" w:space="0"/>
            </w:tcBorders>
            <w:shd w:val="clear" w:color="auto" w:fill="auto"/>
            <w:noWrap/>
            <w:vAlign w:val="center"/>
            <w:hideMark/>
          </w:tcPr>
          <w:p w:rsidRPr="00B7014C" w:rsidR="00403C90" w:rsidP="00403C90" w:rsidRDefault="00403C90" w14:paraId="4E476A23" w14:textId="77777777">
            <w:pPr>
              <w:jc w:val="center"/>
              <w:rPr>
                <w:b/>
                <w:bCs/>
                <w:color w:val="000000"/>
                <w:sz w:val="22"/>
                <w:szCs w:val="22"/>
                <w:lang w:eastAsia="en-GB"/>
              </w:rPr>
            </w:pPr>
            <w:r w:rsidRPr="00B7014C">
              <w:rPr>
                <w:b/>
                <w:bCs/>
                <w:color w:val="000000"/>
                <w:sz w:val="22"/>
                <w:szCs w:val="22"/>
                <w:lang w:eastAsia="en-GB"/>
              </w:rPr>
              <w:t>Number of pupils</w:t>
            </w:r>
          </w:p>
        </w:tc>
        <w:tc>
          <w:tcPr>
            <w:tcW w:w="2520" w:type="dxa"/>
            <w:tcBorders>
              <w:top w:val="single" w:color="auto" w:sz="8" w:space="0"/>
              <w:left w:val="nil"/>
              <w:bottom w:val="double" w:color="auto" w:sz="6" w:space="0"/>
              <w:right w:val="single" w:color="auto" w:sz="8" w:space="0"/>
            </w:tcBorders>
            <w:shd w:val="clear" w:color="auto" w:fill="auto"/>
            <w:noWrap/>
            <w:vAlign w:val="center"/>
            <w:hideMark/>
          </w:tcPr>
          <w:p w:rsidRPr="00B7014C" w:rsidR="00403C90" w:rsidP="00403C90" w:rsidRDefault="00403C90" w14:paraId="24BF910A" w14:textId="77777777">
            <w:pPr>
              <w:jc w:val="center"/>
              <w:rPr>
                <w:b/>
                <w:bCs/>
                <w:color w:val="000000"/>
                <w:sz w:val="22"/>
                <w:szCs w:val="22"/>
                <w:lang w:eastAsia="en-GB"/>
              </w:rPr>
            </w:pPr>
            <w:r w:rsidRPr="00B7014C">
              <w:rPr>
                <w:b/>
                <w:bCs/>
                <w:color w:val="000000"/>
                <w:sz w:val="22"/>
                <w:szCs w:val="22"/>
                <w:lang w:eastAsia="en-GB"/>
              </w:rPr>
              <w:t>Percentage of pupils</w:t>
            </w:r>
          </w:p>
        </w:tc>
      </w:tr>
      <w:tr w:rsidRPr="00B7014C" w:rsidR="00403C90" w:rsidTr="00403C90" w14:paraId="48072159" w14:textId="77777777">
        <w:trPr>
          <w:trHeight w:val="330"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403C90" w:rsidP="00403C90" w:rsidRDefault="00403C90" w14:paraId="06633441" w14:textId="77777777">
            <w:pPr>
              <w:rPr>
                <w:color w:val="000000"/>
                <w:sz w:val="22"/>
                <w:szCs w:val="22"/>
                <w:lang w:eastAsia="en-GB"/>
              </w:rPr>
            </w:pPr>
            <w:r w:rsidRPr="00B7014C">
              <w:rPr>
                <w:color w:val="000000"/>
                <w:sz w:val="22"/>
                <w:szCs w:val="22"/>
                <w:lang w:eastAsia="en-GB"/>
              </w:rPr>
              <w:t>Wealdstone</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403C90" w:rsidP="00403C90" w:rsidRDefault="008103CA" w14:paraId="26D866A0" w14:textId="4CB72ED3">
            <w:pPr>
              <w:jc w:val="center"/>
              <w:rPr>
                <w:color w:val="000000"/>
                <w:sz w:val="22"/>
                <w:szCs w:val="22"/>
                <w:lang w:eastAsia="en-GB"/>
              </w:rPr>
            </w:pPr>
            <w:r w:rsidRPr="00B7014C">
              <w:rPr>
                <w:color w:val="000000"/>
                <w:sz w:val="22"/>
                <w:szCs w:val="22"/>
                <w:lang w:eastAsia="en-GB"/>
              </w:rPr>
              <w:t xml:space="preserve">746 </w:t>
            </w:r>
            <w:r w:rsidRPr="00B7014C" w:rsidR="00421B06">
              <w:rPr>
                <w:color w:val="000000"/>
                <w:sz w:val="22"/>
                <w:szCs w:val="22"/>
                <w:lang w:eastAsia="en-GB"/>
              </w:rPr>
              <w:t>(</w:t>
            </w:r>
            <w:r w:rsidRPr="00B7014C" w:rsidR="00403C90">
              <w:rPr>
                <w:color w:val="000000"/>
                <w:sz w:val="22"/>
                <w:szCs w:val="22"/>
                <w:lang w:eastAsia="en-GB"/>
              </w:rPr>
              <w:t>740)</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403C90" w:rsidP="00403C90" w:rsidRDefault="008103CA" w14:paraId="56E5C6C4" w14:textId="00C9EA58">
            <w:pPr>
              <w:jc w:val="center"/>
              <w:rPr>
                <w:color w:val="000000"/>
                <w:sz w:val="22"/>
                <w:szCs w:val="22"/>
                <w:lang w:eastAsia="en-GB"/>
              </w:rPr>
            </w:pPr>
            <w:r w:rsidRPr="00B7014C">
              <w:rPr>
                <w:color w:val="000000"/>
                <w:sz w:val="22"/>
                <w:szCs w:val="22"/>
                <w:lang w:eastAsia="en-GB"/>
              </w:rPr>
              <w:t xml:space="preserve">5.8% </w:t>
            </w:r>
            <w:r w:rsidRPr="00B7014C" w:rsidR="007C2501">
              <w:rPr>
                <w:color w:val="000000"/>
                <w:sz w:val="22"/>
                <w:szCs w:val="22"/>
                <w:lang w:eastAsia="en-GB"/>
              </w:rPr>
              <w:t>(</w:t>
            </w:r>
            <w:r w:rsidRPr="00B7014C" w:rsidR="00403C90">
              <w:rPr>
                <w:color w:val="000000"/>
                <w:sz w:val="22"/>
                <w:szCs w:val="22"/>
                <w:lang w:eastAsia="en-GB"/>
              </w:rPr>
              <w:t>5.9%)</w:t>
            </w:r>
          </w:p>
        </w:tc>
      </w:tr>
      <w:tr w:rsidRPr="00B7014C" w:rsidR="00403C90" w:rsidTr="00403C90" w14:paraId="4600ABA2"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403C90" w:rsidP="00403C90" w:rsidRDefault="00403C90" w14:paraId="54972C7F" w14:textId="77777777">
            <w:pPr>
              <w:rPr>
                <w:color w:val="000000"/>
                <w:sz w:val="22"/>
                <w:szCs w:val="22"/>
                <w:lang w:eastAsia="en-GB"/>
              </w:rPr>
            </w:pPr>
            <w:r w:rsidRPr="00B7014C">
              <w:rPr>
                <w:color w:val="000000"/>
                <w:sz w:val="22"/>
                <w:szCs w:val="22"/>
                <w:lang w:eastAsia="en-GB"/>
              </w:rPr>
              <w:t>Roxbourne</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403C90" w:rsidP="00403C90" w:rsidRDefault="008103CA" w14:paraId="4692E3D2" w14:textId="4E38F025">
            <w:pPr>
              <w:jc w:val="center"/>
              <w:rPr>
                <w:color w:val="000000"/>
                <w:sz w:val="22"/>
                <w:szCs w:val="22"/>
                <w:lang w:eastAsia="en-GB"/>
              </w:rPr>
            </w:pPr>
            <w:r w:rsidRPr="00B7014C">
              <w:rPr>
                <w:color w:val="000000"/>
                <w:sz w:val="22"/>
                <w:szCs w:val="22"/>
                <w:lang w:eastAsia="en-GB"/>
              </w:rPr>
              <w:t xml:space="preserve">699 </w:t>
            </w:r>
            <w:r w:rsidRPr="00B7014C" w:rsidR="00421B06">
              <w:rPr>
                <w:color w:val="000000"/>
                <w:sz w:val="22"/>
                <w:szCs w:val="22"/>
                <w:lang w:eastAsia="en-GB"/>
              </w:rPr>
              <w:t>(</w:t>
            </w:r>
            <w:r w:rsidRPr="00B7014C" w:rsidR="00403C90">
              <w:rPr>
                <w:color w:val="000000"/>
                <w:sz w:val="22"/>
                <w:szCs w:val="22"/>
                <w:lang w:eastAsia="en-GB"/>
              </w:rPr>
              <w:t>703)</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403C90" w:rsidP="00403C90" w:rsidRDefault="0059729A" w14:paraId="0C3AC769" w14:textId="30CBA3FC">
            <w:pPr>
              <w:jc w:val="center"/>
              <w:rPr>
                <w:color w:val="000000"/>
                <w:sz w:val="22"/>
                <w:szCs w:val="22"/>
                <w:lang w:eastAsia="en-GB"/>
              </w:rPr>
            </w:pPr>
            <w:r w:rsidRPr="00B7014C">
              <w:rPr>
                <w:color w:val="000000"/>
                <w:sz w:val="22"/>
                <w:szCs w:val="22"/>
                <w:lang w:eastAsia="en-GB"/>
              </w:rPr>
              <w:t xml:space="preserve">5.4% </w:t>
            </w:r>
            <w:r w:rsidRPr="00B7014C" w:rsidR="007C2501">
              <w:rPr>
                <w:color w:val="000000"/>
                <w:sz w:val="22"/>
                <w:szCs w:val="22"/>
                <w:lang w:eastAsia="en-GB"/>
              </w:rPr>
              <w:t>(</w:t>
            </w:r>
            <w:r w:rsidRPr="00B7014C" w:rsidR="00403C90">
              <w:rPr>
                <w:color w:val="000000"/>
                <w:sz w:val="22"/>
                <w:szCs w:val="22"/>
                <w:lang w:eastAsia="en-GB"/>
              </w:rPr>
              <w:t>5.6%)</w:t>
            </w:r>
          </w:p>
        </w:tc>
      </w:tr>
      <w:tr w:rsidRPr="00B7014C" w:rsidR="00403C90" w:rsidTr="00403C90" w14:paraId="6FBA61B4"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403C90" w:rsidP="00403C90" w:rsidRDefault="00403C90" w14:paraId="22C5514D" w14:textId="77777777">
            <w:pPr>
              <w:rPr>
                <w:color w:val="000000"/>
                <w:sz w:val="22"/>
                <w:szCs w:val="22"/>
                <w:lang w:eastAsia="en-GB"/>
              </w:rPr>
            </w:pPr>
            <w:r w:rsidRPr="00B7014C">
              <w:rPr>
                <w:color w:val="000000"/>
                <w:sz w:val="22"/>
                <w:szCs w:val="22"/>
                <w:lang w:eastAsia="en-GB"/>
              </w:rPr>
              <w:t>Marlborough</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403C90" w:rsidP="00403C90" w:rsidRDefault="008103CA" w14:paraId="06CCBC96" w14:textId="20BC5414">
            <w:pPr>
              <w:jc w:val="center"/>
              <w:rPr>
                <w:color w:val="000000"/>
                <w:sz w:val="22"/>
                <w:szCs w:val="22"/>
                <w:lang w:eastAsia="en-GB"/>
              </w:rPr>
            </w:pPr>
            <w:r w:rsidRPr="00B7014C">
              <w:rPr>
                <w:color w:val="000000"/>
                <w:sz w:val="22"/>
                <w:szCs w:val="22"/>
                <w:lang w:eastAsia="en-GB"/>
              </w:rPr>
              <w:t xml:space="preserve">652 </w:t>
            </w:r>
            <w:r w:rsidRPr="00B7014C" w:rsidR="00403C90">
              <w:rPr>
                <w:color w:val="000000"/>
                <w:sz w:val="22"/>
                <w:szCs w:val="22"/>
                <w:lang w:eastAsia="en-GB"/>
              </w:rPr>
              <w:t>(611)</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403C90" w:rsidP="00403C90" w:rsidRDefault="0059729A" w14:paraId="776B7026" w14:textId="41ED056B">
            <w:pPr>
              <w:jc w:val="center"/>
              <w:rPr>
                <w:color w:val="000000"/>
                <w:sz w:val="22"/>
                <w:szCs w:val="22"/>
                <w:lang w:eastAsia="en-GB"/>
              </w:rPr>
            </w:pPr>
            <w:r w:rsidRPr="00B7014C">
              <w:rPr>
                <w:color w:val="000000"/>
                <w:sz w:val="22"/>
                <w:szCs w:val="22"/>
                <w:lang w:eastAsia="en-GB"/>
              </w:rPr>
              <w:t xml:space="preserve">5.1% </w:t>
            </w:r>
            <w:r w:rsidRPr="00B7014C" w:rsidR="007C2501">
              <w:rPr>
                <w:color w:val="000000"/>
                <w:sz w:val="22"/>
                <w:szCs w:val="22"/>
                <w:lang w:eastAsia="en-GB"/>
              </w:rPr>
              <w:t>(</w:t>
            </w:r>
            <w:r w:rsidRPr="00B7014C" w:rsidR="00403C90">
              <w:rPr>
                <w:color w:val="000000"/>
                <w:sz w:val="22"/>
                <w:szCs w:val="22"/>
                <w:lang w:eastAsia="en-GB"/>
              </w:rPr>
              <w:t>4.9%)</w:t>
            </w:r>
          </w:p>
        </w:tc>
      </w:tr>
      <w:tr w:rsidRPr="00B7014C" w:rsidR="0040646A" w:rsidTr="00403C90" w14:paraId="012DA83B"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tcPr>
          <w:p w:rsidRPr="00B7014C" w:rsidR="0040646A" w:rsidP="0040646A" w:rsidRDefault="0040646A" w14:paraId="0FC5BEB1" w14:textId="23EA50E5">
            <w:pPr>
              <w:rPr>
                <w:color w:val="000000"/>
                <w:sz w:val="22"/>
                <w:szCs w:val="22"/>
                <w:lang w:eastAsia="en-GB"/>
              </w:rPr>
            </w:pPr>
            <w:r w:rsidRPr="00B7014C">
              <w:rPr>
                <w:color w:val="000000"/>
                <w:sz w:val="22"/>
                <w:szCs w:val="22"/>
                <w:lang w:eastAsia="en-GB"/>
              </w:rPr>
              <w:t>Harrow Weald</w:t>
            </w:r>
          </w:p>
        </w:tc>
        <w:tc>
          <w:tcPr>
            <w:tcW w:w="2140" w:type="dxa"/>
            <w:tcBorders>
              <w:top w:val="nil"/>
              <w:left w:val="nil"/>
              <w:bottom w:val="single" w:color="auto" w:sz="8" w:space="0"/>
              <w:right w:val="single" w:color="auto" w:sz="8" w:space="0"/>
            </w:tcBorders>
            <w:shd w:val="clear" w:color="auto" w:fill="auto"/>
            <w:noWrap/>
            <w:vAlign w:val="center"/>
          </w:tcPr>
          <w:p w:rsidRPr="00B7014C" w:rsidR="0040646A" w:rsidP="0040646A" w:rsidRDefault="00BF3087" w14:paraId="30313AE8" w14:textId="100E3A96">
            <w:pPr>
              <w:jc w:val="center"/>
              <w:rPr>
                <w:color w:val="000000"/>
                <w:sz w:val="22"/>
                <w:szCs w:val="22"/>
                <w:lang w:eastAsia="en-GB"/>
              </w:rPr>
            </w:pPr>
            <w:r w:rsidRPr="00B7014C">
              <w:rPr>
                <w:color w:val="000000"/>
                <w:sz w:val="22"/>
                <w:szCs w:val="22"/>
                <w:lang w:eastAsia="en-GB"/>
              </w:rPr>
              <w:t xml:space="preserve">606 </w:t>
            </w:r>
            <w:r w:rsidRPr="00B7014C" w:rsidR="0040646A">
              <w:rPr>
                <w:color w:val="000000"/>
                <w:sz w:val="22"/>
                <w:szCs w:val="22"/>
                <w:lang w:eastAsia="en-GB"/>
              </w:rPr>
              <w:t>(559)</w:t>
            </w:r>
          </w:p>
        </w:tc>
        <w:tc>
          <w:tcPr>
            <w:tcW w:w="2520" w:type="dxa"/>
            <w:tcBorders>
              <w:top w:val="nil"/>
              <w:left w:val="nil"/>
              <w:bottom w:val="single" w:color="auto" w:sz="8" w:space="0"/>
              <w:right w:val="single" w:color="auto" w:sz="8" w:space="0"/>
            </w:tcBorders>
            <w:shd w:val="clear" w:color="auto" w:fill="auto"/>
            <w:noWrap/>
            <w:vAlign w:val="center"/>
          </w:tcPr>
          <w:p w:rsidRPr="00B7014C" w:rsidR="0040646A" w:rsidP="0040646A" w:rsidRDefault="0059729A" w14:paraId="6BADAF5E" w14:textId="11C6F6C2">
            <w:pPr>
              <w:jc w:val="center"/>
              <w:rPr>
                <w:color w:val="000000"/>
                <w:sz w:val="22"/>
                <w:szCs w:val="22"/>
                <w:lang w:eastAsia="en-GB"/>
              </w:rPr>
            </w:pPr>
            <w:r w:rsidRPr="00B7014C">
              <w:rPr>
                <w:color w:val="000000"/>
                <w:sz w:val="22"/>
                <w:szCs w:val="22"/>
                <w:lang w:eastAsia="en-GB"/>
              </w:rPr>
              <w:t xml:space="preserve">4.7% </w:t>
            </w:r>
            <w:r w:rsidRPr="00B7014C" w:rsidR="0040646A">
              <w:rPr>
                <w:color w:val="000000"/>
                <w:sz w:val="22"/>
                <w:szCs w:val="22"/>
                <w:lang w:eastAsia="en-GB"/>
              </w:rPr>
              <w:t>(4.5%)</w:t>
            </w:r>
          </w:p>
        </w:tc>
      </w:tr>
      <w:tr w:rsidRPr="00B7014C" w:rsidR="0040646A" w:rsidTr="00403C90" w14:paraId="1D3C7CF3"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40646A" w:rsidP="0040646A" w:rsidRDefault="0040646A" w14:paraId="5C4338FD" w14:textId="77777777">
            <w:pPr>
              <w:rPr>
                <w:color w:val="000000"/>
                <w:sz w:val="22"/>
                <w:szCs w:val="22"/>
                <w:lang w:eastAsia="en-GB"/>
              </w:rPr>
            </w:pPr>
            <w:r w:rsidRPr="00B7014C">
              <w:rPr>
                <w:color w:val="000000"/>
                <w:sz w:val="22"/>
                <w:szCs w:val="22"/>
                <w:lang w:eastAsia="en-GB"/>
              </w:rPr>
              <w:t>Queensbury</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40646A" w:rsidP="0040646A" w:rsidRDefault="00BF3087" w14:paraId="19EE32D4" w14:textId="1B21A65C">
            <w:pPr>
              <w:jc w:val="center"/>
              <w:rPr>
                <w:color w:val="000000"/>
                <w:sz w:val="22"/>
                <w:szCs w:val="22"/>
                <w:lang w:eastAsia="en-GB"/>
              </w:rPr>
            </w:pPr>
            <w:r w:rsidRPr="00B7014C">
              <w:rPr>
                <w:color w:val="000000"/>
                <w:sz w:val="22"/>
                <w:szCs w:val="22"/>
                <w:lang w:eastAsia="en-GB"/>
              </w:rPr>
              <w:t xml:space="preserve">594 </w:t>
            </w:r>
            <w:r w:rsidRPr="00B7014C" w:rsidR="0040646A">
              <w:rPr>
                <w:color w:val="000000"/>
                <w:sz w:val="22"/>
                <w:szCs w:val="22"/>
                <w:lang w:eastAsia="en-GB"/>
              </w:rPr>
              <w:t>(594)</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40646A" w:rsidP="0040646A" w:rsidRDefault="0059729A" w14:paraId="6220BE96" w14:textId="7E1D1179">
            <w:pPr>
              <w:jc w:val="center"/>
              <w:rPr>
                <w:color w:val="000000"/>
                <w:sz w:val="22"/>
                <w:szCs w:val="22"/>
                <w:lang w:eastAsia="en-GB"/>
              </w:rPr>
            </w:pPr>
            <w:r w:rsidRPr="00B7014C">
              <w:rPr>
                <w:color w:val="000000"/>
                <w:sz w:val="22"/>
                <w:szCs w:val="22"/>
                <w:lang w:eastAsia="en-GB"/>
              </w:rPr>
              <w:t xml:space="preserve">4.6% </w:t>
            </w:r>
            <w:r w:rsidRPr="00B7014C" w:rsidR="0040646A">
              <w:rPr>
                <w:color w:val="000000"/>
                <w:sz w:val="22"/>
                <w:szCs w:val="22"/>
                <w:lang w:eastAsia="en-GB"/>
              </w:rPr>
              <w:t>(4.8%)</w:t>
            </w:r>
          </w:p>
        </w:tc>
      </w:tr>
      <w:tr w:rsidRPr="00B7014C" w:rsidR="00BF3087" w:rsidTr="00403C90" w14:paraId="671575A7"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tcPr>
          <w:p w:rsidRPr="00B7014C" w:rsidR="00BF3087" w:rsidP="00BF3087" w:rsidRDefault="00BF3087" w14:paraId="688C747C" w14:textId="5B222A12">
            <w:pPr>
              <w:rPr>
                <w:color w:val="000000"/>
                <w:sz w:val="22"/>
                <w:szCs w:val="22"/>
                <w:lang w:eastAsia="en-GB"/>
              </w:rPr>
            </w:pPr>
            <w:r w:rsidRPr="00B7014C">
              <w:rPr>
                <w:color w:val="000000"/>
                <w:sz w:val="22"/>
                <w:szCs w:val="22"/>
                <w:lang w:eastAsia="en-GB"/>
              </w:rPr>
              <w:t>Headstone South</w:t>
            </w:r>
          </w:p>
        </w:tc>
        <w:tc>
          <w:tcPr>
            <w:tcW w:w="2140" w:type="dxa"/>
            <w:tcBorders>
              <w:top w:val="nil"/>
              <w:left w:val="nil"/>
              <w:bottom w:val="single" w:color="auto" w:sz="8" w:space="0"/>
              <w:right w:val="single" w:color="auto" w:sz="8" w:space="0"/>
            </w:tcBorders>
            <w:shd w:val="clear" w:color="auto" w:fill="auto"/>
            <w:noWrap/>
            <w:vAlign w:val="center"/>
          </w:tcPr>
          <w:p w:rsidRPr="00B7014C" w:rsidR="00BF3087" w:rsidP="00BF3087" w:rsidRDefault="00BF3087" w14:paraId="6F5DB833" w14:textId="19629203">
            <w:pPr>
              <w:jc w:val="center"/>
              <w:rPr>
                <w:color w:val="000000"/>
                <w:sz w:val="22"/>
                <w:szCs w:val="22"/>
                <w:lang w:eastAsia="en-GB"/>
              </w:rPr>
            </w:pPr>
            <w:r w:rsidRPr="00B7014C">
              <w:rPr>
                <w:color w:val="000000"/>
                <w:sz w:val="22"/>
                <w:szCs w:val="22"/>
                <w:lang w:eastAsia="en-GB"/>
              </w:rPr>
              <w:t>586 (556)</w:t>
            </w:r>
          </w:p>
        </w:tc>
        <w:tc>
          <w:tcPr>
            <w:tcW w:w="2520" w:type="dxa"/>
            <w:tcBorders>
              <w:top w:val="nil"/>
              <w:left w:val="nil"/>
              <w:bottom w:val="single" w:color="auto" w:sz="8" w:space="0"/>
              <w:right w:val="single" w:color="auto" w:sz="8" w:space="0"/>
            </w:tcBorders>
            <w:shd w:val="clear" w:color="auto" w:fill="auto"/>
            <w:noWrap/>
            <w:vAlign w:val="center"/>
          </w:tcPr>
          <w:p w:rsidRPr="00B7014C" w:rsidR="00BF3087" w:rsidP="00BF3087" w:rsidRDefault="00D867F2" w14:paraId="79705FBB" w14:textId="197276CA">
            <w:pPr>
              <w:jc w:val="center"/>
              <w:rPr>
                <w:color w:val="000000"/>
                <w:sz w:val="22"/>
                <w:szCs w:val="22"/>
                <w:lang w:eastAsia="en-GB"/>
              </w:rPr>
            </w:pPr>
            <w:r w:rsidRPr="00B7014C">
              <w:rPr>
                <w:color w:val="000000"/>
                <w:sz w:val="22"/>
                <w:szCs w:val="22"/>
                <w:lang w:eastAsia="en-GB"/>
              </w:rPr>
              <w:t xml:space="preserve">4.6% </w:t>
            </w:r>
            <w:r w:rsidRPr="00B7014C" w:rsidR="00BF3087">
              <w:rPr>
                <w:color w:val="000000"/>
                <w:sz w:val="22"/>
                <w:szCs w:val="22"/>
                <w:lang w:eastAsia="en-GB"/>
              </w:rPr>
              <w:t>(4.5%)</w:t>
            </w:r>
          </w:p>
        </w:tc>
      </w:tr>
      <w:tr w:rsidRPr="00B7014C" w:rsidR="00BF3087" w:rsidTr="00403C90" w14:paraId="2A56ED92"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BF3087" w:rsidP="00BF3087" w:rsidRDefault="00BF3087" w14:paraId="349244CE" w14:textId="77777777">
            <w:pPr>
              <w:rPr>
                <w:color w:val="000000"/>
                <w:sz w:val="22"/>
                <w:szCs w:val="22"/>
                <w:lang w:eastAsia="en-GB"/>
              </w:rPr>
            </w:pPr>
            <w:r w:rsidRPr="00B7014C">
              <w:rPr>
                <w:color w:val="000000"/>
                <w:sz w:val="22"/>
                <w:szCs w:val="22"/>
                <w:lang w:eastAsia="en-GB"/>
              </w:rPr>
              <w:t>Edgware</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BF3087" w:rsidP="00BF3087" w:rsidRDefault="00F0238D" w14:paraId="6A665419" w14:textId="7EC2B0C2">
            <w:pPr>
              <w:jc w:val="center"/>
              <w:rPr>
                <w:color w:val="000000"/>
                <w:sz w:val="22"/>
                <w:szCs w:val="22"/>
                <w:lang w:eastAsia="en-GB"/>
              </w:rPr>
            </w:pPr>
            <w:r w:rsidRPr="00B7014C">
              <w:rPr>
                <w:color w:val="000000"/>
                <w:sz w:val="22"/>
                <w:szCs w:val="22"/>
                <w:lang w:eastAsia="en-GB"/>
              </w:rPr>
              <w:t xml:space="preserve">576 </w:t>
            </w:r>
            <w:r w:rsidRPr="00B7014C" w:rsidR="00BF3087">
              <w:rPr>
                <w:color w:val="000000"/>
                <w:sz w:val="22"/>
                <w:szCs w:val="22"/>
                <w:lang w:eastAsia="en-GB"/>
              </w:rPr>
              <w:t>(583)</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BF3087" w:rsidP="00BF3087" w:rsidRDefault="00D867F2" w14:paraId="72B524F0" w14:textId="6C08251C">
            <w:pPr>
              <w:jc w:val="center"/>
              <w:rPr>
                <w:color w:val="000000"/>
                <w:sz w:val="22"/>
                <w:szCs w:val="22"/>
                <w:lang w:eastAsia="en-GB"/>
              </w:rPr>
            </w:pPr>
            <w:r w:rsidRPr="00B7014C">
              <w:rPr>
                <w:color w:val="000000"/>
                <w:sz w:val="22"/>
                <w:szCs w:val="22"/>
                <w:lang w:eastAsia="en-GB"/>
              </w:rPr>
              <w:t xml:space="preserve">4.5% </w:t>
            </w:r>
            <w:r w:rsidRPr="00B7014C" w:rsidR="00BF3087">
              <w:rPr>
                <w:color w:val="000000"/>
                <w:sz w:val="22"/>
                <w:szCs w:val="22"/>
                <w:lang w:eastAsia="en-GB"/>
              </w:rPr>
              <w:t>(4.7%)</w:t>
            </w:r>
          </w:p>
        </w:tc>
      </w:tr>
      <w:tr w:rsidRPr="00B7014C" w:rsidR="00BF3087" w:rsidTr="00403C90" w14:paraId="6D750BE7"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BF3087" w:rsidP="00BF3087" w:rsidRDefault="00BF3087" w14:paraId="2E534517" w14:textId="77777777">
            <w:pPr>
              <w:rPr>
                <w:color w:val="000000"/>
                <w:sz w:val="22"/>
                <w:szCs w:val="22"/>
                <w:lang w:eastAsia="en-GB"/>
              </w:rPr>
            </w:pPr>
            <w:r w:rsidRPr="00B7014C">
              <w:rPr>
                <w:color w:val="000000"/>
                <w:sz w:val="22"/>
                <w:szCs w:val="22"/>
                <w:lang w:eastAsia="en-GB"/>
              </w:rPr>
              <w:t>Belmont</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BF3087" w:rsidP="00BF3087" w:rsidRDefault="00F0238D" w14:paraId="4B8E4EF5" w14:textId="08C93314">
            <w:pPr>
              <w:jc w:val="center"/>
              <w:rPr>
                <w:color w:val="000000"/>
                <w:sz w:val="22"/>
                <w:szCs w:val="22"/>
                <w:lang w:eastAsia="en-GB"/>
              </w:rPr>
            </w:pPr>
            <w:r w:rsidRPr="00B7014C">
              <w:rPr>
                <w:color w:val="000000"/>
                <w:sz w:val="22"/>
                <w:szCs w:val="22"/>
                <w:lang w:eastAsia="en-GB"/>
              </w:rPr>
              <w:t xml:space="preserve">540 </w:t>
            </w:r>
            <w:r w:rsidRPr="00B7014C" w:rsidR="00BF3087">
              <w:rPr>
                <w:color w:val="000000"/>
                <w:sz w:val="22"/>
                <w:szCs w:val="22"/>
                <w:lang w:eastAsia="en-GB"/>
              </w:rPr>
              <w:t>(538)</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BF3087" w:rsidP="00BF3087" w:rsidRDefault="00D867F2" w14:paraId="2D77F169" w14:textId="62B8326C">
            <w:pPr>
              <w:jc w:val="center"/>
              <w:rPr>
                <w:color w:val="000000"/>
                <w:sz w:val="22"/>
                <w:szCs w:val="22"/>
                <w:lang w:eastAsia="en-GB"/>
              </w:rPr>
            </w:pPr>
            <w:r w:rsidRPr="00B7014C">
              <w:rPr>
                <w:color w:val="000000"/>
                <w:sz w:val="22"/>
                <w:szCs w:val="22"/>
                <w:lang w:eastAsia="en-GB"/>
              </w:rPr>
              <w:t xml:space="preserve">4.2% </w:t>
            </w:r>
            <w:r w:rsidRPr="00B7014C" w:rsidR="00BF3087">
              <w:rPr>
                <w:color w:val="000000"/>
                <w:sz w:val="22"/>
                <w:szCs w:val="22"/>
                <w:lang w:eastAsia="en-GB"/>
              </w:rPr>
              <w:t>(4.3%)</w:t>
            </w:r>
          </w:p>
        </w:tc>
      </w:tr>
      <w:tr w:rsidRPr="00B7014C" w:rsidR="00BF3087" w:rsidTr="00403C90" w14:paraId="7811EB2D"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BF3087" w:rsidP="00BF3087" w:rsidRDefault="00BF3087" w14:paraId="60BDE91E" w14:textId="77777777">
            <w:pPr>
              <w:rPr>
                <w:color w:val="000000"/>
                <w:sz w:val="22"/>
                <w:szCs w:val="22"/>
                <w:lang w:eastAsia="en-GB"/>
              </w:rPr>
            </w:pPr>
            <w:r w:rsidRPr="00B7014C">
              <w:rPr>
                <w:color w:val="000000"/>
                <w:sz w:val="22"/>
                <w:szCs w:val="22"/>
                <w:lang w:eastAsia="en-GB"/>
              </w:rPr>
              <w:t>West Harrow</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BF3087" w:rsidP="00BF3087" w:rsidRDefault="007B4E90" w14:paraId="70A50348" w14:textId="723DD722">
            <w:pPr>
              <w:jc w:val="center"/>
              <w:rPr>
                <w:color w:val="000000"/>
                <w:sz w:val="22"/>
                <w:szCs w:val="22"/>
                <w:lang w:eastAsia="en-GB"/>
              </w:rPr>
            </w:pPr>
            <w:r w:rsidRPr="00B7014C">
              <w:rPr>
                <w:color w:val="000000"/>
                <w:sz w:val="22"/>
                <w:szCs w:val="22"/>
                <w:lang w:eastAsia="en-GB"/>
              </w:rPr>
              <w:t xml:space="preserve">502 </w:t>
            </w:r>
            <w:r w:rsidRPr="00B7014C" w:rsidR="00BF3087">
              <w:rPr>
                <w:color w:val="000000"/>
                <w:sz w:val="22"/>
                <w:szCs w:val="22"/>
                <w:lang w:eastAsia="en-GB"/>
              </w:rPr>
              <w:t>(476)</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BF3087" w:rsidP="00BF3087" w:rsidRDefault="00D867F2" w14:paraId="057BC3C4" w14:textId="40692195">
            <w:pPr>
              <w:jc w:val="center"/>
              <w:rPr>
                <w:color w:val="000000"/>
                <w:sz w:val="22"/>
                <w:szCs w:val="22"/>
                <w:lang w:eastAsia="en-GB"/>
              </w:rPr>
            </w:pPr>
            <w:r w:rsidRPr="00B7014C">
              <w:rPr>
                <w:color w:val="000000"/>
                <w:sz w:val="22"/>
                <w:szCs w:val="22"/>
                <w:lang w:eastAsia="en-GB"/>
              </w:rPr>
              <w:t xml:space="preserve">3.9% </w:t>
            </w:r>
            <w:r w:rsidRPr="00B7014C" w:rsidR="00BF3087">
              <w:rPr>
                <w:color w:val="000000"/>
                <w:sz w:val="22"/>
                <w:szCs w:val="22"/>
                <w:lang w:eastAsia="en-GB"/>
              </w:rPr>
              <w:t>(3.8%)</w:t>
            </w:r>
          </w:p>
        </w:tc>
      </w:tr>
      <w:tr w:rsidRPr="00B7014C" w:rsidR="00BF3087" w:rsidTr="00403C90" w14:paraId="3D49EB22"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BF3087" w:rsidP="00BF3087" w:rsidRDefault="00BF3087" w14:paraId="6278074B" w14:textId="77777777">
            <w:pPr>
              <w:rPr>
                <w:color w:val="000000"/>
                <w:sz w:val="22"/>
                <w:szCs w:val="22"/>
                <w:lang w:eastAsia="en-GB"/>
              </w:rPr>
            </w:pPr>
            <w:r w:rsidRPr="00B7014C">
              <w:rPr>
                <w:color w:val="000000"/>
                <w:sz w:val="22"/>
                <w:szCs w:val="22"/>
                <w:lang w:eastAsia="en-GB"/>
              </w:rPr>
              <w:t>Greenhill</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BF3087" w:rsidP="00BF3087" w:rsidRDefault="007B4E90" w14:paraId="31BCC24E" w14:textId="4D29C7C8">
            <w:pPr>
              <w:jc w:val="center"/>
              <w:rPr>
                <w:color w:val="000000"/>
                <w:sz w:val="22"/>
                <w:szCs w:val="22"/>
                <w:lang w:eastAsia="en-GB"/>
              </w:rPr>
            </w:pPr>
            <w:r w:rsidRPr="00B7014C">
              <w:rPr>
                <w:color w:val="000000"/>
                <w:sz w:val="22"/>
                <w:szCs w:val="22"/>
                <w:lang w:eastAsia="en-GB"/>
              </w:rPr>
              <w:t xml:space="preserve">487 </w:t>
            </w:r>
            <w:r w:rsidRPr="00B7014C" w:rsidR="00BF3087">
              <w:rPr>
                <w:color w:val="000000"/>
                <w:sz w:val="22"/>
                <w:szCs w:val="22"/>
                <w:lang w:eastAsia="en-GB"/>
              </w:rPr>
              <w:t>(459)</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BF3087" w:rsidP="00BF3087" w:rsidRDefault="00D867F2" w14:paraId="3177000E" w14:textId="21BDF32E">
            <w:pPr>
              <w:jc w:val="center"/>
              <w:rPr>
                <w:color w:val="000000"/>
                <w:sz w:val="22"/>
                <w:szCs w:val="22"/>
                <w:lang w:eastAsia="en-GB"/>
              </w:rPr>
            </w:pPr>
            <w:r w:rsidRPr="00B7014C">
              <w:rPr>
                <w:color w:val="000000"/>
                <w:sz w:val="22"/>
                <w:szCs w:val="22"/>
                <w:lang w:eastAsia="en-GB"/>
              </w:rPr>
              <w:t xml:space="preserve">3.8% </w:t>
            </w:r>
            <w:r w:rsidRPr="00B7014C" w:rsidR="00BF3087">
              <w:rPr>
                <w:color w:val="000000"/>
                <w:sz w:val="22"/>
                <w:szCs w:val="22"/>
                <w:lang w:eastAsia="en-GB"/>
              </w:rPr>
              <w:t>(3.7%)</w:t>
            </w:r>
          </w:p>
        </w:tc>
      </w:tr>
      <w:tr w:rsidRPr="00B7014C" w:rsidR="00BF3087" w:rsidTr="00403C90" w14:paraId="45397ED0"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BF3087" w:rsidP="00BF3087" w:rsidRDefault="00BF3087" w14:paraId="57CE4D38" w14:textId="77777777">
            <w:pPr>
              <w:rPr>
                <w:color w:val="000000"/>
                <w:sz w:val="22"/>
                <w:szCs w:val="22"/>
                <w:lang w:eastAsia="en-GB"/>
              </w:rPr>
            </w:pPr>
            <w:r w:rsidRPr="00B7014C">
              <w:rPr>
                <w:color w:val="000000"/>
                <w:sz w:val="22"/>
                <w:szCs w:val="22"/>
                <w:lang w:eastAsia="en-GB"/>
              </w:rPr>
              <w:t>Harrow on the Hill</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BF3087" w:rsidP="00BF3087" w:rsidRDefault="007B4E90" w14:paraId="20753D54" w14:textId="00AC808F">
            <w:pPr>
              <w:jc w:val="center"/>
              <w:rPr>
                <w:color w:val="000000"/>
                <w:sz w:val="22"/>
                <w:szCs w:val="22"/>
                <w:lang w:eastAsia="en-GB"/>
              </w:rPr>
            </w:pPr>
            <w:r w:rsidRPr="00B7014C">
              <w:rPr>
                <w:color w:val="000000"/>
                <w:sz w:val="22"/>
                <w:szCs w:val="22"/>
                <w:lang w:eastAsia="en-GB"/>
              </w:rPr>
              <w:t xml:space="preserve">486 </w:t>
            </w:r>
            <w:r w:rsidRPr="00B7014C" w:rsidR="00BF3087">
              <w:rPr>
                <w:color w:val="000000"/>
                <w:sz w:val="22"/>
                <w:szCs w:val="22"/>
                <w:lang w:eastAsia="en-GB"/>
              </w:rPr>
              <w:t>(453)</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BF3087" w:rsidP="00BF3087" w:rsidRDefault="00D867F2" w14:paraId="4CBE8D24" w14:textId="060CA108">
            <w:pPr>
              <w:jc w:val="center"/>
              <w:rPr>
                <w:color w:val="000000"/>
                <w:sz w:val="22"/>
                <w:szCs w:val="22"/>
                <w:lang w:eastAsia="en-GB"/>
              </w:rPr>
            </w:pPr>
            <w:r w:rsidRPr="00B7014C">
              <w:rPr>
                <w:color w:val="000000"/>
                <w:sz w:val="22"/>
                <w:szCs w:val="22"/>
                <w:lang w:eastAsia="en-GB"/>
              </w:rPr>
              <w:t xml:space="preserve">3.8% </w:t>
            </w:r>
            <w:r w:rsidRPr="00B7014C" w:rsidR="00BF3087">
              <w:rPr>
                <w:color w:val="000000"/>
                <w:sz w:val="22"/>
                <w:szCs w:val="22"/>
                <w:lang w:eastAsia="en-GB"/>
              </w:rPr>
              <w:t>(3.6%)</w:t>
            </w:r>
          </w:p>
        </w:tc>
      </w:tr>
      <w:tr w:rsidRPr="00B7014C" w:rsidR="0043344A" w:rsidTr="00403C90" w14:paraId="652F675E"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tcPr>
          <w:p w:rsidRPr="00B7014C" w:rsidR="0043344A" w:rsidP="0043344A" w:rsidRDefault="0043344A" w14:paraId="78E6C063" w14:textId="5CDF8A3B">
            <w:pPr>
              <w:rPr>
                <w:color w:val="000000"/>
                <w:sz w:val="22"/>
                <w:szCs w:val="22"/>
                <w:lang w:eastAsia="en-GB"/>
              </w:rPr>
            </w:pPr>
            <w:proofErr w:type="spellStart"/>
            <w:r w:rsidRPr="00B7014C">
              <w:rPr>
                <w:color w:val="000000"/>
                <w:sz w:val="22"/>
                <w:szCs w:val="22"/>
                <w:lang w:eastAsia="en-GB"/>
              </w:rPr>
              <w:t>Roxeth</w:t>
            </w:r>
            <w:proofErr w:type="spellEnd"/>
          </w:p>
        </w:tc>
        <w:tc>
          <w:tcPr>
            <w:tcW w:w="2140" w:type="dxa"/>
            <w:tcBorders>
              <w:top w:val="nil"/>
              <w:left w:val="nil"/>
              <w:bottom w:val="single" w:color="auto" w:sz="8" w:space="0"/>
              <w:right w:val="single" w:color="auto" w:sz="8" w:space="0"/>
            </w:tcBorders>
            <w:shd w:val="clear" w:color="auto" w:fill="auto"/>
            <w:noWrap/>
            <w:vAlign w:val="center"/>
          </w:tcPr>
          <w:p w:rsidRPr="00B7014C" w:rsidR="0043344A" w:rsidP="0043344A" w:rsidRDefault="0043344A" w14:paraId="476F7D97" w14:textId="06C6EB07">
            <w:pPr>
              <w:jc w:val="center"/>
              <w:rPr>
                <w:color w:val="000000"/>
                <w:sz w:val="22"/>
                <w:szCs w:val="22"/>
                <w:lang w:eastAsia="en-GB"/>
              </w:rPr>
            </w:pPr>
            <w:r w:rsidRPr="00B7014C">
              <w:rPr>
                <w:color w:val="000000"/>
                <w:sz w:val="22"/>
                <w:szCs w:val="22"/>
                <w:lang w:eastAsia="en-GB"/>
              </w:rPr>
              <w:t>481 (512)</w:t>
            </w:r>
          </w:p>
        </w:tc>
        <w:tc>
          <w:tcPr>
            <w:tcW w:w="2520" w:type="dxa"/>
            <w:tcBorders>
              <w:top w:val="nil"/>
              <w:left w:val="nil"/>
              <w:bottom w:val="single" w:color="auto" w:sz="8" w:space="0"/>
              <w:right w:val="single" w:color="auto" w:sz="8" w:space="0"/>
            </w:tcBorders>
            <w:shd w:val="clear" w:color="auto" w:fill="auto"/>
            <w:noWrap/>
            <w:vAlign w:val="center"/>
          </w:tcPr>
          <w:p w:rsidRPr="00B7014C" w:rsidR="0043344A" w:rsidP="0043344A" w:rsidRDefault="00D867F2" w14:paraId="1B31EBCA" w14:textId="6CC0188A">
            <w:pPr>
              <w:jc w:val="center"/>
              <w:rPr>
                <w:color w:val="000000"/>
                <w:sz w:val="22"/>
                <w:szCs w:val="22"/>
                <w:lang w:eastAsia="en-GB"/>
              </w:rPr>
            </w:pPr>
            <w:r w:rsidRPr="00B7014C">
              <w:rPr>
                <w:color w:val="000000"/>
                <w:sz w:val="22"/>
                <w:szCs w:val="22"/>
                <w:lang w:eastAsia="en-GB"/>
              </w:rPr>
              <w:t xml:space="preserve">3.7% </w:t>
            </w:r>
            <w:r w:rsidRPr="00B7014C" w:rsidR="0043344A">
              <w:rPr>
                <w:color w:val="000000"/>
                <w:sz w:val="22"/>
                <w:szCs w:val="22"/>
                <w:lang w:eastAsia="en-GB"/>
              </w:rPr>
              <w:t>(4.1%)</w:t>
            </w:r>
          </w:p>
        </w:tc>
      </w:tr>
      <w:tr w:rsidRPr="00B7014C" w:rsidR="0043344A" w:rsidTr="00403C90" w14:paraId="202C2881"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43344A" w:rsidP="0043344A" w:rsidRDefault="0043344A" w14:paraId="49C2B825" w14:textId="77777777">
            <w:pPr>
              <w:rPr>
                <w:color w:val="000000"/>
                <w:sz w:val="22"/>
                <w:szCs w:val="22"/>
                <w:lang w:eastAsia="en-GB"/>
              </w:rPr>
            </w:pPr>
            <w:r w:rsidRPr="00B7014C">
              <w:rPr>
                <w:color w:val="000000"/>
                <w:sz w:val="22"/>
                <w:szCs w:val="22"/>
                <w:lang w:eastAsia="en-GB"/>
              </w:rPr>
              <w:t>Headstone North</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43344A" w:rsidP="0043344A" w:rsidRDefault="0043344A" w14:paraId="4E1F4153" w14:textId="242F1E85">
            <w:pPr>
              <w:jc w:val="center"/>
              <w:rPr>
                <w:color w:val="000000"/>
                <w:sz w:val="22"/>
                <w:szCs w:val="22"/>
                <w:lang w:eastAsia="en-GB"/>
              </w:rPr>
            </w:pPr>
            <w:r w:rsidRPr="00B7014C">
              <w:rPr>
                <w:color w:val="000000"/>
                <w:sz w:val="22"/>
                <w:szCs w:val="22"/>
                <w:lang w:eastAsia="en-GB"/>
              </w:rPr>
              <w:t>473 (447)</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43344A" w:rsidP="0043344A" w:rsidRDefault="00D867F2" w14:paraId="2019FDD9" w14:textId="4063DCDF">
            <w:pPr>
              <w:jc w:val="center"/>
              <w:rPr>
                <w:color w:val="000000"/>
                <w:sz w:val="22"/>
                <w:szCs w:val="22"/>
                <w:lang w:eastAsia="en-GB"/>
              </w:rPr>
            </w:pPr>
            <w:r w:rsidRPr="00B7014C">
              <w:rPr>
                <w:color w:val="000000"/>
                <w:sz w:val="22"/>
                <w:szCs w:val="22"/>
                <w:lang w:eastAsia="en-GB"/>
              </w:rPr>
              <w:t xml:space="preserve">3.7% </w:t>
            </w:r>
            <w:r w:rsidRPr="00B7014C" w:rsidR="0043344A">
              <w:rPr>
                <w:color w:val="000000"/>
                <w:sz w:val="22"/>
                <w:szCs w:val="22"/>
                <w:lang w:eastAsia="en-GB"/>
              </w:rPr>
              <w:t>(3.6%)</w:t>
            </w:r>
          </w:p>
        </w:tc>
      </w:tr>
      <w:tr w:rsidRPr="00B7014C" w:rsidR="0043344A" w:rsidTr="00403C90" w14:paraId="5B730C9E"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43344A" w:rsidP="0043344A" w:rsidRDefault="0043344A" w14:paraId="591A98F4" w14:textId="77777777">
            <w:pPr>
              <w:rPr>
                <w:color w:val="000000"/>
                <w:sz w:val="22"/>
                <w:szCs w:val="22"/>
                <w:lang w:eastAsia="en-GB"/>
              </w:rPr>
            </w:pPr>
            <w:r w:rsidRPr="00B7014C">
              <w:rPr>
                <w:color w:val="000000"/>
                <w:sz w:val="22"/>
                <w:szCs w:val="22"/>
                <w:lang w:eastAsia="en-GB"/>
              </w:rPr>
              <w:t>Rayners Lane</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43344A" w:rsidP="0043344A" w:rsidRDefault="0043344A" w14:paraId="6C6ABC67" w14:textId="71E1F904">
            <w:pPr>
              <w:jc w:val="center"/>
              <w:rPr>
                <w:color w:val="000000"/>
                <w:sz w:val="22"/>
                <w:szCs w:val="22"/>
                <w:lang w:eastAsia="en-GB"/>
              </w:rPr>
            </w:pPr>
            <w:r w:rsidRPr="00B7014C">
              <w:rPr>
                <w:color w:val="000000"/>
                <w:sz w:val="22"/>
                <w:szCs w:val="22"/>
                <w:lang w:eastAsia="en-GB"/>
              </w:rPr>
              <w:t>452 (421)</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43344A" w:rsidP="0043344A" w:rsidRDefault="00D867F2" w14:paraId="55CAAD9C" w14:textId="23CA1BC5">
            <w:pPr>
              <w:jc w:val="center"/>
              <w:rPr>
                <w:color w:val="000000"/>
                <w:sz w:val="22"/>
                <w:szCs w:val="22"/>
                <w:lang w:eastAsia="en-GB"/>
              </w:rPr>
            </w:pPr>
            <w:r w:rsidRPr="00B7014C">
              <w:rPr>
                <w:color w:val="000000"/>
                <w:sz w:val="22"/>
                <w:szCs w:val="22"/>
                <w:lang w:eastAsia="en-GB"/>
              </w:rPr>
              <w:t xml:space="preserve">3.5% </w:t>
            </w:r>
            <w:r w:rsidRPr="00B7014C" w:rsidR="0043344A">
              <w:rPr>
                <w:color w:val="000000"/>
                <w:sz w:val="22"/>
                <w:szCs w:val="22"/>
                <w:lang w:eastAsia="en-GB"/>
              </w:rPr>
              <w:t>(3.4%)</w:t>
            </w:r>
          </w:p>
        </w:tc>
      </w:tr>
      <w:tr w:rsidRPr="00B7014C" w:rsidR="0043344A" w:rsidTr="00403C90" w14:paraId="2E338BB3"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43344A" w:rsidP="0043344A" w:rsidRDefault="0043344A" w14:paraId="67B7E628" w14:textId="77777777">
            <w:pPr>
              <w:rPr>
                <w:color w:val="000000"/>
                <w:sz w:val="22"/>
                <w:szCs w:val="22"/>
                <w:lang w:eastAsia="en-GB"/>
              </w:rPr>
            </w:pPr>
            <w:r w:rsidRPr="00B7014C">
              <w:rPr>
                <w:color w:val="000000"/>
                <w:sz w:val="22"/>
                <w:szCs w:val="22"/>
                <w:lang w:eastAsia="en-GB"/>
              </w:rPr>
              <w:t>Canons</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43344A" w:rsidP="0043344A" w:rsidRDefault="0043344A" w14:paraId="150587CB" w14:textId="3C1F6C6A">
            <w:pPr>
              <w:jc w:val="center"/>
              <w:rPr>
                <w:color w:val="000000"/>
                <w:sz w:val="22"/>
                <w:szCs w:val="22"/>
                <w:lang w:eastAsia="en-GB"/>
              </w:rPr>
            </w:pPr>
            <w:r w:rsidRPr="00B7014C">
              <w:rPr>
                <w:color w:val="000000"/>
                <w:sz w:val="22"/>
                <w:szCs w:val="22"/>
                <w:lang w:eastAsia="en-GB"/>
              </w:rPr>
              <w:t>409 (402)</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43344A" w:rsidP="0043344A" w:rsidRDefault="00D867F2" w14:paraId="10372282" w14:textId="68A0EF72">
            <w:pPr>
              <w:jc w:val="center"/>
              <w:rPr>
                <w:color w:val="000000"/>
                <w:sz w:val="22"/>
                <w:szCs w:val="22"/>
                <w:lang w:eastAsia="en-GB"/>
              </w:rPr>
            </w:pPr>
            <w:r w:rsidRPr="00B7014C">
              <w:rPr>
                <w:color w:val="000000"/>
                <w:sz w:val="22"/>
                <w:szCs w:val="22"/>
                <w:lang w:eastAsia="en-GB"/>
              </w:rPr>
              <w:t xml:space="preserve">3.2% </w:t>
            </w:r>
            <w:r w:rsidRPr="00B7014C" w:rsidR="0043344A">
              <w:rPr>
                <w:color w:val="000000"/>
                <w:sz w:val="22"/>
                <w:szCs w:val="22"/>
                <w:lang w:eastAsia="en-GB"/>
              </w:rPr>
              <w:t>(3.2%)</w:t>
            </w:r>
          </w:p>
        </w:tc>
      </w:tr>
      <w:tr w:rsidRPr="00B7014C" w:rsidR="0043344A" w:rsidTr="00403C90" w14:paraId="6E08FC69"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43344A" w:rsidP="0043344A" w:rsidRDefault="0043344A" w14:paraId="0A832DE5" w14:textId="77777777">
            <w:pPr>
              <w:rPr>
                <w:color w:val="000000"/>
                <w:sz w:val="22"/>
                <w:szCs w:val="22"/>
                <w:lang w:eastAsia="en-GB"/>
              </w:rPr>
            </w:pPr>
            <w:r w:rsidRPr="00B7014C">
              <w:rPr>
                <w:color w:val="000000"/>
                <w:sz w:val="22"/>
                <w:szCs w:val="22"/>
                <w:lang w:eastAsia="en-GB"/>
              </w:rPr>
              <w:t>Kenton West</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43344A" w:rsidP="0043344A" w:rsidRDefault="0043344A" w14:paraId="658451D4" w14:textId="36EF194D">
            <w:pPr>
              <w:jc w:val="center"/>
              <w:rPr>
                <w:color w:val="000000"/>
                <w:sz w:val="22"/>
                <w:szCs w:val="22"/>
                <w:lang w:eastAsia="en-GB"/>
              </w:rPr>
            </w:pPr>
            <w:r w:rsidRPr="00B7014C">
              <w:rPr>
                <w:color w:val="000000"/>
                <w:sz w:val="22"/>
                <w:szCs w:val="22"/>
                <w:lang w:eastAsia="en-GB"/>
              </w:rPr>
              <w:t>406 (400)</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43344A" w:rsidP="0043344A" w:rsidRDefault="00BA1210" w14:paraId="20440F3B" w14:textId="484262FB">
            <w:pPr>
              <w:jc w:val="center"/>
              <w:rPr>
                <w:color w:val="000000"/>
                <w:sz w:val="22"/>
                <w:szCs w:val="22"/>
                <w:lang w:eastAsia="en-GB"/>
              </w:rPr>
            </w:pPr>
            <w:r w:rsidRPr="00B7014C">
              <w:rPr>
                <w:color w:val="000000"/>
                <w:sz w:val="22"/>
                <w:szCs w:val="22"/>
                <w:lang w:eastAsia="en-GB"/>
              </w:rPr>
              <w:t xml:space="preserve">3.2% </w:t>
            </w:r>
            <w:r w:rsidRPr="00B7014C" w:rsidR="0043344A">
              <w:rPr>
                <w:color w:val="000000"/>
                <w:sz w:val="22"/>
                <w:szCs w:val="22"/>
                <w:lang w:eastAsia="en-GB"/>
              </w:rPr>
              <w:t>(3.3%)</w:t>
            </w:r>
          </w:p>
        </w:tc>
      </w:tr>
      <w:tr w:rsidRPr="00B7014C" w:rsidR="00800D66" w:rsidTr="00403C90" w14:paraId="752036A0"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tcPr>
          <w:p w:rsidRPr="00B7014C" w:rsidR="00800D66" w:rsidP="00800D66" w:rsidRDefault="00800D66" w14:paraId="6EB578D6" w14:textId="1FBE39B7">
            <w:pPr>
              <w:rPr>
                <w:color w:val="000000"/>
                <w:sz w:val="22"/>
                <w:szCs w:val="22"/>
                <w:lang w:eastAsia="en-GB"/>
              </w:rPr>
            </w:pPr>
            <w:r w:rsidRPr="00B7014C">
              <w:rPr>
                <w:color w:val="000000"/>
                <w:sz w:val="22"/>
                <w:szCs w:val="22"/>
                <w:lang w:eastAsia="en-GB"/>
              </w:rPr>
              <w:t>Stanmore Park</w:t>
            </w:r>
          </w:p>
        </w:tc>
        <w:tc>
          <w:tcPr>
            <w:tcW w:w="2140" w:type="dxa"/>
            <w:tcBorders>
              <w:top w:val="nil"/>
              <w:left w:val="nil"/>
              <w:bottom w:val="single" w:color="auto" w:sz="8" w:space="0"/>
              <w:right w:val="single" w:color="auto" w:sz="8" w:space="0"/>
            </w:tcBorders>
            <w:shd w:val="clear" w:color="auto" w:fill="auto"/>
            <w:noWrap/>
            <w:vAlign w:val="center"/>
          </w:tcPr>
          <w:p w:rsidRPr="00B7014C" w:rsidR="00800D66" w:rsidP="00800D66" w:rsidRDefault="00800D66" w14:paraId="42E9A958" w14:textId="5FB8F4F3">
            <w:pPr>
              <w:jc w:val="center"/>
              <w:rPr>
                <w:color w:val="000000"/>
                <w:sz w:val="22"/>
                <w:szCs w:val="22"/>
                <w:lang w:eastAsia="en-GB"/>
              </w:rPr>
            </w:pPr>
            <w:r w:rsidRPr="00B7014C">
              <w:rPr>
                <w:color w:val="000000"/>
                <w:sz w:val="22"/>
                <w:szCs w:val="22"/>
                <w:lang w:eastAsia="en-GB"/>
              </w:rPr>
              <w:t>392 (372)</w:t>
            </w:r>
          </w:p>
        </w:tc>
        <w:tc>
          <w:tcPr>
            <w:tcW w:w="2520" w:type="dxa"/>
            <w:tcBorders>
              <w:top w:val="nil"/>
              <w:left w:val="nil"/>
              <w:bottom w:val="single" w:color="auto" w:sz="8" w:space="0"/>
              <w:right w:val="single" w:color="auto" w:sz="8" w:space="0"/>
            </w:tcBorders>
            <w:shd w:val="clear" w:color="auto" w:fill="auto"/>
            <w:noWrap/>
            <w:vAlign w:val="center"/>
          </w:tcPr>
          <w:p w:rsidRPr="00B7014C" w:rsidR="00800D66" w:rsidP="00800D66" w:rsidRDefault="00BA1210" w14:paraId="19127BB3" w14:textId="0FDCCABA">
            <w:pPr>
              <w:jc w:val="center"/>
              <w:rPr>
                <w:color w:val="000000"/>
                <w:sz w:val="22"/>
                <w:szCs w:val="22"/>
                <w:lang w:eastAsia="en-GB"/>
              </w:rPr>
            </w:pPr>
            <w:r w:rsidRPr="00B7014C">
              <w:rPr>
                <w:color w:val="000000"/>
                <w:sz w:val="22"/>
                <w:szCs w:val="22"/>
                <w:lang w:eastAsia="en-GB"/>
              </w:rPr>
              <w:t xml:space="preserve">3.1% </w:t>
            </w:r>
            <w:r w:rsidRPr="00B7014C" w:rsidR="00800D66">
              <w:rPr>
                <w:color w:val="000000"/>
                <w:sz w:val="22"/>
                <w:szCs w:val="22"/>
                <w:lang w:eastAsia="en-GB"/>
              </w:rPr>
              <w:t>(3.0%)</w:t>
            </w:r>
          </w:p>
        </w:tc>
      </w:tr>
      <w:tr w:rsidRPr="00B7014C" w:rsidR="00800D66" w:rsidTr="00403C90" w14:paraId="18E3858B"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800D66" w:rsidP="00800D66" w:rsidRDefault="00800D66" w14:paraId="69C827E7" w14:textId="77777777">
            <w:pPr>
              <w:rPr>
                <w:color w:val="000000"/>
                <w:sz w:val="22"/>
                <w:szCs w:val="22"/>
                <w:lang w:eastAsia="en-GB"/>
              </w:rPr>
            </w:pPr>
            <w:r w:rsidRPr="00B7014C">
              <w:rPr>
                <w:color w:val="000000"/>
                <w:sz w:val="22"/>
                <w:szCs w:val="22"/>
                <w:lang w:eastAsia="en-GB"/>
              </w:rPr>
              <w:t>Kenton East</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800D66" w14:paraId="3EAFA801" w14:textId="4F87FD3E">
            <w:pPr>
              <w:jc w:val="center"/>
              <w:rPr>
                <w:color w:val="000000"/>
                <w:sz w:val="22"/>
                <w:szCs w:val="22"/>
                <w:lang w:eastAsia="en-GB"/>
              </w:rPr>
            </w:pPr>
            <w:r w:rsidRPr="00B7014C">
              <w:rPr>
                <w:color w:val="000000"/>
                <w:sz w:val="22"/>
                <w:szCs w:val="22"/>
                <w:lang w:eastAsia="en-GB"/>
              </w:rPr>
              <w:t>382 (379)</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BA1210" w14:paraId="73CCF518" w14:textId="07159733">
            <w:pPr>
              <w:jc w:val="center"/>
              <w:rPr>
                <w:color w:val="000000"/>
                <w:sz w:val="22"/>
                <w:szCs w:val="22"/>
                <w:lang w:eastAsia="en-GB"/>
              </w:rPr>
            </w:pPr>
            <w:r w:rsidRPr="00B7014C">
              <w:rPr>
                <w:color w:val="000000"/>
                <w:sz w:val="22"/>
                <w:szCs w:val="22"/>
                <w:lang w:eastAsia="en-GB"/>
              </w:rPr>
              <w:t xml:space="preserve">3.0% </w:t>
            </w:r>
            <w:r w:rsidRPr="00B7014C" w:rsidR="00800D66">
              <w:rPr>
                <w:color w:val="000000"/>
                <w:sz w:val="22"/>
                <w:szCs w:val="22"/>
                <w:lang w:eastAsia="en-GB"/>
              </w:rPr>
              <w:t>(3.0%)</w:t>
            </w:r>
          </w:p>
        </w:tc>
      </w:tr>
      <w:tr w:rsidRPr="00B7014C" w:rsidR="00800D66" w:rsidTr="00403C90" w14:paraId="1E7535C3"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800D66" w:rsidP="00800D66" w:rsidRDefault="00800D66" w14:paraId="317C854F" w14:textId="77777777">
            <w:pPr>
              <w:rPr>
                <w:color w:val="000000"/>
                <w:sz w:val="22"/>
                <w:szCs w:val="22"/>
                <w:lang w:eastAsia="en-GB"/>
              </w:rPr>
            </w:pPr>
            <w:r w:rsidRPr="00B7014C">
              <w:rPr>
                <w:color w:val="000000"/>
                <w:sz w:val="22"/>
                <w:szCs w:val="22"/>
                <w:lang w:eastAsia="en-GB"/>
              </w:rPr>
              <w:t>Pinner South</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800D66" w14:paraId="1112E931" w14:textId="39252BE6">
            <w:pPr>
              <w:jc w:val="center"/>
              <w:rPr>
                <w:color w:val="000000"/>
                <w:sz w:val="22"/>
                <w:szCs w:val="22"/>
                <w:lang w:eastAsia="en-GB"/>
              </w:rPr>
            </w:pPr>
            <w:r w:rsidRPr="00B7014C">
              <w:rPr>
                <w:color w:val="000000"/>
                <w:sz w:val="22"/>
                <w:szCs w:val="22"/>
                <w:lang w:eastAsia="en-GB"/>
              </w:rPr>
              <w:t>379 (345)</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BA1210" w14:paraId="1D88A6D7" w14:textId="63F44552">
            <w:pPr>
              <w:jc w:val="center"/>
              <w:rPr>
                <w:color w:val="000000"/>
                <w:sz w:val="22"/>
                <w:szCs w:val="22"/>
                <w:lang w:eastAsia="en-GB"/>
              </w:rPr>
            </w:pPr>
            <w:r w:rsidRPr="00B7014C">
              <w:rPr>
                <w:color w:val="000000"/>
                <w:sz w:val="22"/>
                <w:szCs w:val="22"/>
                <w:lang w:eastAsia="en-GB"/>
              </w:rPr>
              <w:t xml:space="preserve">3.0% </w:t>
            </w:r>
            <w:r w:rsidRPr="00B7014C" w:rsidR="00800D66">
              <w:rPr>
                <w:color w:val="000000"/>
                <w:sz w:val="22"/>
                <w:szCs w:val="22"/>
                <w:lang w:eastAsia="en-GB"/>
              </w:rPr>
              <w:t>(2.8%)</w:t>
            </w:r>
          </w:p>
        </w:tc>
      </w:tr>
      <w:tr w:rsidRPr="00B7014C" w:rsidR="00800D66" w:rsidTr="00403C90" w14:paraId="4B485C86" w14:textId="77777777">
        <w:trPr>
          <w:trHeight w:val="31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800D66" w:rsidP="00800D66" w:rsidRDefault="00800D66" w14:paraId="119C4166" w14:textId="77777777">
            <w:pPr>
              <w:rPr>
                <w:color w:val="000000"/>
                <w:sz w:val="22"/>
                <w:szCs w:val="22"/>
                <w:lang w:eastAsia="en-GB"/>
              </w:rPr>
            </w:pPr>
            <w:r w:rsidRPr="00B7014C">
              <w:rPr>
                <w:color w:val="000000"/>
                <w:sz w:val="22"/>
                <w:szCs w:val="22"/>
                <w:lang w:eastAsia="en-GB"/>
              </w:rPr>
              <w:t>Hatch End</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800D66" w14:paraId="3285AB70" w14:textId="17CF3D3E">
            <w:pPr>
              <w:jc w:val="center"/>
              <w:rPr>
                <w:color w:val="000000"/>
                <w:sz w:val="22"/>
                <w:szCs w:val="22"/>
                <w:lang w:eastAsia="en-GB"/>
              </w:rPr>
            </w:pPr>
            <w:r w:rsidRPr="00B7014C">
              <w:rPr>
                <w:color w:val="000000"/>
                <w:sz w:val="22"/>
                <w:szCs w:val="22"/>
                <w:lang w:eastAsia="en-GB"/>
              </w:rPr>
              <w:t>274 (264)</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BA1210" w14:paraId="4D0EC92B" w14:textId="06C26362">
            <w:pPr>
              <w:jc w:val="center"/>
              <w:rPr>
                <w:color w:val="000000"/>
                <w:sz w:val="22"/>
                <w:szCs w:val="22"/>
                <w:lang w:eastAsia="en-GB"/>
              </w:rPr>
            </w:pPr>
            <w:r w:rsidRPr="00B7014C">
              <w:rPr>
                <w:color w:val="000000"/>
                <w:sz w:val="22"/>
                <w:szCs w:val="22"/>
                <w:lang w:eastAsia="en-GB"/>
              </w:rPr>
              <w:t xml:space="preserve">2.1% </w:t>
            </w:r>
            <w:r w:rsidRPr="00B7014C" w:rsidR="00800D66">
              <w:rPr>
                <w:color w:val="000000"/>
                <w:sz w:val="22"/>
                <w:szCs w:val="22"/>
                <w:lang w:eastAsia="en-GB"/>
              </w:rPr>
              <w:t>(2.1%)</w:t>
            </w:r>
          </w:p>
        </w:tc>
      </w:tr>
      <w:tr w:rsidRPr="00B7014C" w:rsidR="00800D66" w:rsidTr="00403C90" w14:paraId="33A4EB71" w14:textId="77777777">
        <w:trPr>
          <w:trHeight w:val="315" w:hRule="exact"/>
        </w:trPr>
        <w:tc>
          <w:tcPr>
            <w:tcW w:w="2320" w:type="dxa"/>
            <w:tcBorders>
              <w:top w:val="nil"/>
              <w:left w:val="single" w:color="auto" w:sz="8" w:space="0"/>
              <w:bottom w:val="double" w:color="auto" w:sz="6" w:space="0"/>
              <w:right w:val="single" w:color="auto" w:sz="8" w:space="0"/>
            </w:tcBorders>
            <w:shd w:val="clear" w:color="auto" w:fill="auto"/>
            <w:noWrap/>
            <w:vAlign w:val="center"/>
            <w:hideMark/>
          </w:tcPr>
          <w:p w:rsidRPr="00B7014C" w:rsidR="00800D66" w:rsidP="00800D66" w:rsidRDefault="00800D66" w14:paraId="32125BB8" w14:textId="77777777">
            <w:pPr>
              <w:rPr>
                <w:color w:val="000000"/>
                <w:sz w:val="22"/>
                <w:szCs w:val="22"/>
                <w:lang w:eastAsia="en-GB"/>
              </w:rPr>
            </w:pPr>
            <w:r w:rsidRPr="00B7014C">
              <w:rPr>
                <w:color w:val="000000"/>
                <w:sz w:val="22"/>
                <w:szCs w:val="22"/>
                <w:lang w:eastAsia="en-GB"/>
              </w:rPr>
              <w:t>Pinner</w:t>
            </w:r>
          </w:p>
        </w:tc>
        <w:tc>
          <w:tcPr>
            <w:tcW w:w="2140" w:type="dxa"/>
            <w:tcBorders>
              <w:top w:val="nil"/>
              <w:left w:val="nil"/>
              <w:bottom w:val="double" w:color="auto" w:sz="6" w:space="0"/>
              <w:right w:val="single" w:color="auto" w:sz="8" w:space="0"/>
            </w:tcBorders>
            <w:shd w:val="clear" w:color="auto" w:fill="auto"/>
            <w:noWrap/>
            <w:vAlign w:val="center"/>
            <w:hideMark/>
          </w:tcPr>
          <w:p w:rsidRPr="00B7014C" w:rsidR="00800D66" w:rsidP="00800D66" w:rsidRDefault="00800D66" w14:paraId="05556FEC" w14:textId="1EBF01FF">
            <w:pPr>
              <w:jc w:val="center"/>
              <w:rPr>
                <w:color w:val="000000"/>
                <w:sz w:val="22"/>
                <w:szCs w:val="22"/>
                <w:lang w:eastAsia="en-GB"/>
              </w:rPr>
            </w:pPr>
            <w:r w:rsidRPr="00B7014C">
              <w:rPr>
                <w:color w:val="000000"/>
                <w:sz w:val="22"/>
                <w:szCs w:val="22"/>
                <w:lang w:eastAsia="en-GB"/>
              </w:rPr>
              <w:t>203 (176)</w:t>
            </w:r>
          </w:p>
        </w:tc>
        <w:tc>
          <w:tcPr>
            <w:tcW w:w="2520" w:type="dxa"/>
            <w:tcBorders>
              <w:top w:val="nil"/>
              <w:left w:val="nil"/>
              <w:bottom w:val="double" w:color="auto" w:sz="6" w:space="0"/>
              <w:right w:val="single" w:color="auto" w:sz="8" w:space="0"/>
            </w:tcBorders>
            <w:shd w:val="clear" w:color="auto" w:fill="auto"/>
            <w:noWrap/>
            <w:vAlign w:val="center"/>
            <w:hideMark/>
          </w:tcPr>
          <w:p w:rsidRPr="00B7014C" w:rsidR="00800D66" w:rsidP="00800D66" w:rsidRDefault="00BA1210" w14:paraId="39B36E8D" w14:textId="203C211C">
            <w:pPr>
              <w:jc w:val="center"/>
              <w:rPr>
                <w:color w:val="000000"/>
                <w:sz w:val="22"/>
                <w:szCs w:val="22"/>
                <w:lang w:eastAsia="en-GB"/>
              </w:rPr>
            </w:pPr>
            <w:r w:rsidRPr="00B7014C">
              <w:rPr>
                <w:color w:val="000000"/>
                <w:sz w:val="22"/>
                <w:szCs w:val="22"/>
                <w:lang w:eastAsia="en-GB"/>
              </w:rPr>
              <w:t xml:space="preserve">1.6% </w:t>
            </w:r>
            <w:r w:rsidRPr="00B7014C" w:rsidR="00800D66">
              <w:rPr>
                <w:color w:val="000000"/>
                <w:sz w:val="22"/>
                <w:szCs w:val="22"/>
                <w:lang w:eastAsia="en-GB"/>
              </w:rPr>
              <w:t>(1.4%)</w:t>
            </w:r>
          </w:p>
        </w:tc>
      </w:tr>
      <w:tr w:rsidRPr="00B7014C" w:rsidR="00800D66" w:rsidTr="00403C90" w14:paraId="5FDB7416" w14:textId="77777777">
        <w:trPr>
          <w:trHeight w:val="345"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800D66" w:rsidP="00800D66" w:rsidRDefault="00800D66" w14:paraId="58E92E2F" w14:textId="77777777">
            <w:pPr>
              <w:rPr>
                <w:b/>
                <w:bCs/>
                <w:color w:val="000000"/>
                <w:sz w:val="22"/>
                <w:szCs w:val="22"/>
                <w:lang w:eastAsia="en-GB"/>
              </w:rPr>
            </w:pPr>
            <w:r w:rsidRPr="00B7014C">
              <w:rPr>
                <w:b/>
                <w:bCs/>
                <w:color w:val="000000"/>
                <w:sz w:val="22"/>
                <w:szCs w:val="22"/>
                <w:lang w:eastAsia="en-GB"/>
              </w:rPr>
              <w:t>Harrow wards total</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5B2A28" w14:paraId="049D9CA4" w14:textId="48FD87E0">
            <w:pPr>
              <w:jc w:val="center"/>
              <w:rPr>
                <w:b/>
                <w:bCs/>
                <w:color w:val="000000"/>
                <w:sz w:val="22"/>
                <w:szCs w:val="22"/>
                <w:lang w:eastAsia="en-GB"/>
              </w:rPr>
            </w:pPr>
            <w:r w:rsidRPr="00B7014C">
              <w:rPr>
                <w:b/>
                <w:bCs/>
                <w:color w:val="000000"/>
                <w:sz w:val="22"/>
                <w:szCs w:val="22"/>
                <w:lang w:eastAsia="en-GB"/>
              </w:rPr>
              <w:t>10,</w:t>
            </w:r>
            <w:r w:rsidRPr="00B7014C" w:rsidR="00052DE3">
              <w:rPr>
                <w:b/>
                <w:bCs/>
                <w:color w:val="000000"/>
                <w:sz w:val="22"/>
                <w:szCs w:val="22"/>
                <w:lang w:eastAsia="en-GB"/>
              </w:rPr>
              <w:t>325</w:t>
            </w:r>
            <w:r w:rsidRPr="00B7014C">
              <w:rPr>
                <w:b/>
                <w:bCs/>
                <w:color w:val="000000"/>
                <w:sz w:val="22"/>
                <w:szCs w:val="22"/>
                <w:lang w:eastAsia="en-GB"/>
              </w:rPr>
              <w:t xml:space="preserve"> </w:t>
            </w:r>
            <w:r w:rsidRPr="00B7014C" w:rsidR="00800D66">
              <w:rPr>
                <w:b/>
                <w:bCs/>
                <w:color w:val="000000"/>
                <w:sz w:val="22"/>
                <w:szCs w:val="22"/>
                <w:lang w:eastAsia="en-GB"/>
              </w:rPr>
              <w:t>(9990)</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450FF4" w14:paraId="2D8EF1B5" w14:textId="67D676E9">
            <w:pPr>
              <w:jc w:val="center"/>
              <w:rPr>
                <w:b/>
                <w:bCs/>
                <w:color w:val="000000"/>
                <w:sz w:val="22"/>
                <w:szCs w:val="22"/>
                <w:lang w:eastAsia="en-GB"/>
              </w:rPr>
            </w:pPr>
            <w:r w:rsidRPr="00B7014C">
              <w:rPr>
                <w:b/>
                <w:bCs/>
                <w:color w:val="000000"/>
                <w:sz w:val="22"/>
                <w:szCs w:val="22"/>
                <w:lang w:eastAsia="en-GB"/>
              </w:rPr>
              <w:t xml:space="preserve">80.4% </w:t>
            </w:r>
            <w:r w:rsidRPr="00B7014C" w:rsidR="00800D66">
              <w:rPr>
                <w:b/>
                <w:bCs/>
                <w:color w:val="000000"/>
                <w:sz w:val="22"/>
                <w:szCs w:val="22"/>
                <w:lang w:eastAsia="en-GB"/>
              </w:rPr>
              <w:t>(80.2%)</w:t>
            </w:r>
          </w:p>
        </w:tc>
      </w:tr>
      <w:tr w:rsidRPr="00B7014C" w:rsidR="00800D66" w:rsidTr="00403C90" w14:paraId="2F849827" w14:textId="77777777">
        <w:trPr>
          <w:trHeight w:val="330"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800D66" w:rsidP="00800D66" w:rsidRDefault="00800D66" w14:paraId="010146D7" w14:textId="77777777">
            <w:pPr>
              <w:rPr>
                <w:b/>
                <w:bCs/>
                <w:color w:val="000000"/>
                <w:sz w:val="22"/>
                <w:szCs w:val="22"/>
                <w:lang w:eastAsia="en-GB"/>
              </w:rPr>
            </w:pPr>
            <w:r w:rsidRPr="00B7014C">
              <w:rPr>
                <w:b/>
                <w:bCs/>
                <w:color w:val="000000"/>
                <w:sz w:val="22"/>
                <w:szCs w:val="22"/>
                <w:lang w:eastAsia="en-GB"/>
              </w:rPr>
              <w:t>Out of borough</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281C6F" w14:paraId="2907473A" w14:textId="44F3E2E0">
            <w:pPr>
              <w:jc w:val="center"/>
              <w:rPr>
                <w:b/>
                <w:bCs/>
                <w:color w:val="000000"/>
                <w:sz w:val="22"/>
                <w:szCs w:val="22"/>
                <w:lang w:eastAsia="en-GB"/>
              </w:rPr>
            </w:pPr>
            <w:r w:rsidRPr="00B7014C">
              <w:rPr>
                <w:b/>
                <w:bCs/>
                <w:color w:val="000000"/>
                <w:sz w:val="22"/>
                <w:szCs w:val="22"/>
                <w:lang w:eastAsia="en-GB"/>
              </w:rPr>
              <w:t xml:space="preserve">2,511 </w:t>
            </w:r>
            <w:r w:rsidRPr="00B7014C" w:rsidR="00800D66">
              <w:rPr>
                <w:b/>
                <w:bCs/>
                <w:color w:val="000000"/>
                <w:sz w:val="22"/>
                <w:szCs w:val="22"/>
                <w:lang w:eastAsia="en-GB"/>
              </w:rPr>
              <w:t>(2468)</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F93DB8" w14:paraId="17443A7D" w14:textId="2A5FD477">
            <w:pPr>
              <w:jc w:val="center"/>
              <w:rPr>
                <w:b/>
                <w:bCs/>
                <w:color w:val="000000"/>
                <w:sz w:val="22"/>
                <w:szCs w:val="22"/>
                <w:lang w:eastAsia="en-GB"/>
              </w:rPr>
            </w:pPr>
            <w:r w:rsidRPr="00B7014C">
              <w:rPr>
                <w:b/>
                <w:bCs/>
                <w:color w:val="000000"/>
                <w:sz w:val="22"/>
                <w:szCs w:val="22"/>
                <w:lang w:eastAsia="en-GB"/>
              </w:rPr>
              <w:t xml:space="preserve">19.6% </w:t>
            </w:r>
            <w:r w:rsidRPr="00B7014C" w:rsidR="00800D66">
              <w:rPr>
                <w:b/>
                <w:bCs/>
                <w:color w:val="000000"/>
                <w:sz w:val="22"/>
                <w:szCs w:val="22"/>
                <w:lang w:eastAsia="en-GB"/>
              </w:rPr>
              <w:t>(19.8%)</w:t>
            </w:r>
          </w:p>
        </w:tc>
      </w:tr>
      <w:tr w:rsidRPr="00B7014C" w:rsidR="00800D66" w:rsidTr="00403C90" w14:paraId="1B521523" w14:textId="77777777">
        <w:trPr>
          <w:trHeight w:val="330" w:hRule="exact"/>
        </w:trPr>
        <w:tc>
          <w:tcPr>
            <w:tcW w:w="2320" w:type="dxa"/>
            <w:tcBorders>
              <w:top w:val="nil"/>
              <w:left w:val="single" w:color="auto" w:sz="8" w:space="0"/>
              <w:bottom w:val="single" w:color="auto" w:sz="8" w:space="0"/>
              <w:right w:val="single" w:color="auto" w:sz="8" w:space="0"/>
            </w:tcBorders>
            <w:shd w:val="clear" w:color="auto" w:fill="auto"/>
            <w:noWrap/>
            <w:vAlign w:val="center"/>
            <w:hideMark/>
          </w:tcPr>
          <w:p w:rsidRPr="00B7014C" w:rsidR="00800D66" w:rsidP="00800D66" w:rsidRDefault="00800D66" w14:paraId="0CCDDDFC" w14:textId="77777777">
            <w:pPr>
              <w:rPr>
                <w:b/>
                <w:bCs/>
                <w:color w:val="000000"/>
                <w:sz w:val="22"/>
                <w:szCs w:val="22"/>
                <w:lang w:eastAsia="en-GB"/>
              </w:rPr>
            </w:pPr>
            <w:r w:rsidRPr="00B7014C">
              <w:rPr>
                <w:b/>
                <w:bCs/>
                <w:color w:val="000000"/>
                <w:sz w:val="22"/>
                <w:szCs w:val="22"/>
                <w:lang w:eastAsia="en-GB"/>
              </w:rPr>
              <w:t>Grand Total</w:t>
            </w:r>
          </w:p>
        </w:tc>
        <w:tc>
          <w:tcPr>
            <w:tcW w:w="214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1F2933" w14:paraId="50C9C528" w14:textId="46F4C75F">
            <w:pPr>
              <w:jc w:val="center"/>
              <w:rPr>
                <w:b/>
                <w:bCs/>
                <w:color w:val="000000"/>
                <w:sz w:val="22"/>
                <w:szCs w:val="22"/>
                <w:lang w:eastAsia="en-GB"/>
              </w:rPr>
            </w:pPr>
            <w:r w:rsidRPr="00B7014C">
              <w:rPr>
                <w:b/>
                <w:bCs/>
                <w:color w:val="000000"/>
                <w:sz w:val="22"/>
                <w:szCs w:val="22"/>
                <w:lang w:eastAsia="en-GB"/>
              </w:rPr>
              <w:t xml:space="preserve">12,836 </w:t>
            </w:r>
            <w:r w:rsidRPr="00B7014C" w:rsidR="00800D66">
              <w:rPr>
                <w:b/>
                <w:bCs/>
                <w:color w:val="000000"/>
                <w:sz w:val="22"/>
                <w:szCs w:val="22"/>
                <w:lang w:eastAsia="en-GB"/>
              </w:rPr>
              <w:t>(12458)</w:t>
            </w:r>
          </w:p>
        </w:tc>
        <w:tc>
          <w:tcPr>
            <w:tcW w:w="2520" w:type="dxa"/>
            <w:tcBorders>
              <w:top w:val="nil"/>
              <w:left w:val="nil"/>
              <w:bottom w:val="single" w:color="auto" w:sz="8" w:space="0"/>
              <w:right w:val="single" w:color="auto" w:sz="8" w:space="0"/>
            </w:tcBorders>
            <w:shd w:val="clear" w:color="auto" w:fill="auto"/>
            <w:noWrap/>
            <w:vAlign w:val="center"/>
            <w:hideMark/>
          </w:tcPr>
          <w:p w:rsidRPr="00B7014C" w:rsidR="00800D66" w:rsidP="00800D66" w:rsidRDefault="00800D66" w14:paraId="679D5EFE" w14:textId="77777777">
            <w:pPr>
              <w:jc w:val="center"/>
              <w:rPr>
                <w:b/>
                <w:bCs/>
                <w:color w:val="000000"/>
                <w:sz w:val="22"/>
                <w:szCs w:val="22"/>
                <w:lang w:eastAsia="en-GB"/>
              </w:rPr>
            </w:pPr>
            <w:r w:rsidRPr="00B7014C">
              <w:rPr>
                <w:b/>
                <w:bCs/>
                <w:color w:val="000000"/>
                <w:sz w:val="22"/>
                <w:szCs w:val="22"/>
                <w:lang w:eastAsia="en-GB"/>
              </w:rPr>
              <w:t>100% (100%)</w:t>
            </w:r>
          </w:p>
        </w:tc>
      </w:tr>
    </w:tbl>
    <w:p w:rsidRPr="00B7014C" w:rsidR="00A16979" w:rsidP="00A16979" w:rsidRDefault="00A16979" w14:paraId="44F6AFFB" w14:textId="4114C9B5">
      <w:pPr>
        <w:rPr>
          <w:sz w:val="22"/>
          <w:szCs w:val="22"/>
        </w:rPr>
      </w:pPr>
      <w:r w:rsidRPr="00B7014C">
        <w:rPr>
          <w:sz w:val="22"/>
          <w:szCs w:val="22"/>
        </w:rPr>
        <w:t>Source – January 201</w:t>
      </w:r>
      <w:r w:rsidRPr="00B7014C" w:rsidR="00403C90">
        <w:rPr>
          <w:sz w:val="22"/>
          <w:szCs w:val="22"/>
        </w:rPr>
        <w:t>9</w:t>
      </w:r>
      <w:r w:rsidRPr="00B7014C">
        <w:rPr>
          <w:sz w:val="22"/>
          <w:szCs w:val="22"/>
        </w:rPr>
        <w:t xml:space="preserve"> </w:t>
      </w:r>
      <w:r w:rsidRPr="00B7014C" w:rsidR="00403C90">
        <w:rPr>
          <w:sz w:val="22"/>
          <w:szCs w:val="22"/>
        </w:rPr>
        <w:t>&amp; 2020</w:t>
      </w:r>
      <w:r w:rsidRPr="00B7014C">
        <w:rPr>
          <w:sz w:val="22"/>
          <w:szCs w:val="22"/>
        </w:rPr>
        <w:t xml:space="preserve"> School Census. NB special schools not included.</w:t>
      </w:r>
    </w:p>
    <w:p w:rsidRPr="00B7014C" w:rsidR="00A16979" w:rsidP="00A16979" w:rsidRDefault="00A16979" w14:paraId="46CA0C32" w14:textId="77777777">
      <w:pPr>
        <w:rPr>
          <w:sz w:val="22"/>
          <w:szCs w:val="22"/>
        </w:rPr>
      </w:pPr>
    </w:p>
    <w:p w:rsidRPr="00B7014C" w:rsidR="00A16979" w:rsidP="00A16979" w:rsidRDefault="00A16979" w14:paraId="5042B61A" w14:textId="77777777">
      <w:pPr>
        <w:rPr>
          <w:b/>
        </w:rPr>
      </w:pPr>
      <w:r w:rsidRPr="00B7014C">
        <w:rPr>
          <w:b/>
        </w:rPr>
        <w:t>Residence of Year 7 pupils</w:t>
      </w:r>
    </w:p>
    <w:p w:rsidRPr="00B7014C" w:rsidR="00A16979" w:rsidP="00A16979" w:rsidRDefault="00DE0E66" w14:paraId="2A50D86A" w14:textId="777512E0">
      <w:r w:rsidRPr="00B7014C">
        <w:t>As at January 2021 t</w:t>
      </w:r>
      <w:r w:rsidRPr="00B7014C" w:rsidR="00A16979">
        <w:t xml:space="preserve">here were </w:t>
      </w:r>
      <w:r w:rsidRPr="00B7014C" w:rsidR="00517C73">
        <w:t>2,6</w:t>
      </w:r>
      <w:r w:rsidRPr="00B7014C" w:rsidR="00694F40">
        <w:t>23</w:t>
      </w:r>
      <w:r w:rsidRPr="00B7014C" w:rsidR="00BA628D">
        <w:t xml:space="preserve"> (</w:t>
      </w:r>
      <w:r w:rsidRPr="00B7014C" w:rsidR="00517C73">
        <w:t>2,</w:t>
      </w:r>
      <w:r w:rsidRPr="00B7014C">
        <w:t>670</w:t>
      </w:r>
      <w:r w:rsidRPr="00B7014C" w:rsidR="00517C73">
        <w:t xml:space="preserve"> </w:t>
      </w:r>
      <w:r w:rsidRPr="00B7014C" w:rsidR="00A16979">
        <w:t>in 20</w:t>
      </w:r>
      <w:r w:rsidRPr="00B7014C">
        <w:t>20</w:t>
      </w:r>
      <w:r w:rsidRPr="00B7014C" w:rsidR="00A16979">
        <w:t>) pupils on roll in Year 7</w:t>
      </w:r>
      <w:r w:rsidRPr="00B7014C" w:rsidR="00B83432">
        <w:t xml:space="preserve">, of these pupils 480 </w:t>
      </w:r>
      <w:r w:rsidRPr="00B7014C" w:rsidR="00A16979">
        <w:t>do not live in Harrow</w:t>
      </w:r>
      <w:r w:rsidRPr="00B7014C" w:rsidR="009B36C1">
        <w:t xml:space="preserve">, </w:t>
      </w:r>
      <w:r w:rsidRPr="00B7014C" w:rsidR="002E3B11">
        <w:t xml:space="preserve">and </w:t>
      </w:r>
      <w:r w:rsidRPr="00B7014C" w:rsidR="009B36C1">
        <w:t xml:space="preserve">a </w:t>
      </w:r>
      <w:r w:rsidRPr="00B7014C" w:rsidR="00A16979">
        <w:t>majority of them liv</w:t>
      </w:r>
      <w:r w:rsidRPr="00B7014C" w:rsidR="002E3B11">
        <w:t xml:space="preserve">e </w:t>
      </w:r>
      <w:r w:rsidRPr="00B7014C" w:rsidR="00A16979">
        <w:t xml:space="preserve">in </w:t>
      </w:r>
      <w:r w:rsidRPr="00B7014C" w:rsidR="009B36C1">
        <w:t xml:space="preserve">Harrow’s </w:t>
      </w:r>
      <w:r w:rsidRPr="00B7014C" w:rsidR="00A16979">
        <w:t xml:space="preserve">neighbouring boroughs, </w:t>
      </w:r>
      <w:r w:rsidRPr="00B7014C" w:rsidR="00B50A68">
        <w:t>154</w:t>
      </w:r>
      <w:r w:rsidRPr="00B7014C" w:rsidR="00A16979">
        <w:t xml:space="preserve"> in Brent, </w:t>
      </w:r>
      <w:r w:rsidRPr="00B7014C" w:rsidR="00B50A68">
        <w:t>116</w:t>
      </w:r>
      <w:r w:rsidRPr="00B7014C" w:rsidR="00A16979">
        <w:t xml:space="preserve"> in Ealing, </w:t>
      </w:r>
      <w:r w:rsidRPr="00B7014C" w:rsidR="00B50A68">
        <w:t>76</w:t>
      </w:r>
      <w:r w:rsidRPr="00B7014C" w:rsidR="00517C73">
        <w:t xml:space="preserve"> in Hillingdon, 6</w:t>
      </w:r>
      <w:r w:rsidRPr="00B7014C" w:rsidR="00B50A68">
        <w:t>5</w:t>
      </w:r>
      <w:r w:rsidRPr="00B7014C" w:rsidR="00517C73">
        <w:t xml:space="preserve"> in Barnet</w:t>
      </w:r>
      <w:r w:rsidRPr="00B7014C" w:rsidR="00A16979">
        <w:t xml:space="preserve"> and </w:t>
      </w:r>
      <w:r w:rsidRPr="00B7014C" w:rsidR="00AE205E">
        <w:t xml:space="preserve">69 </w:t>
      </w:r>
      <w:r w:rsidRPr="00B7014C" w:rsidR="00A16979">
        <w:t xml:space="preserve">in other </w:t>
      </w:r>
      <w:proofErr w:type="spellStart"/>
      <w:r w:rsidRPr="00B7014C" w:rsidR="00A16979">
        <w:t>LAs</w:t>
      </w:r>
      <w:proofErr w:type="spellEnd"/>
      <w:r w:rsidRPr="00B7014C" w:rsidR="00A16979">
        <w:t>.</w:t>
      </w:r>
    </w:p>
    <w:p w:rsidRPr="00B7014C" w:rsidR="00A16979" w:rsidP="00A16979" w:rsidRDefault="00A16979" w14:paraId="7A8B3398" w14:textId="77777777"/>
    <w:p w:rsidRPr="00B7014C" w:rsidR="00A16979" w:rsidP="00A16979" w:rsidRDefault="00A16979" w14:paraId="49474D4C" w14:textId="77777777">
      <w:pPr>
        <w:rPr>
          <w:b/>
        </w:rPr>
      </w:pPr>
      <w:r w:rsidRPr="00B7014C">
        <w:rPr>
          <w:b/>
        </w:rPr>
        <w:t>DfE Secondary Cross Border Movement</w:t>
      </w:r>
    </w:p>
    <w:p w:rsidRPr="00B7014C" w:rsidR="00A16979" w:rsidP="00A16979" w:rsidRDefault="00A16979" w14:paraId="4F6D38D8" w14:textId="0583F2A2">
      <w:r w:rsidRPr="00B7014C">
        <w:t>As at January 20</w:t>
      </w:r>
      <w:r w:rsidRPr="00B7014C" w:rsidR="00DB7172">
        <w:t>20</w:t>
      </w:r>
      <w:r w:rsidRPr="00B7014C">
        <w:t xml:space="preserve"> the number of secondary age pupils exported from Harrow was </w:t>
      </w:r>
      <w:r w:rsidRPr="00B7014C" w:rsidR="00276414">
        <w:t>3,</w:t>
      </w:r>
      <w:r w:rsidRPr="00B7014C" w:rsidR="004F455E">
        <w:t>6</w:t>
      </w:r>
      <w:r w:rsidRPr="00B7014C" w:rsidR="00F11267">
        <w:t>40</w:t>
      </w:r>
      <w:r w:rsidRPr="00B7014C">
        <w:t xml:space="preserve"> (January 201</w:t>
      </w:r>
      <w:r w:rsidRPr="00B7014C" w:rsidR="00C54CD4">
        <w:t>9</w:t>
      </w:r>
      <w:r w:rsidRPr="00B7014C">
        <w:t xml:space="preserve"> </w:t>
      </w:r>
      <w:r w:rsidRPr="00B7014C" w:rsidR="00E76C21">
        <w:t>–</w:t>
      </w:r>
      <w:r w:rsidRPr="00B7014C">
        <w:t xml:space="preserve"> </w:t>
      </w:r>
      <w:r w:rsidRPr="00B7014C" w:rsidR="00671F93">
        <w:t>3,7</w:t>
      </w:r>
      <w:r w:rsidRPr="00B7014C" w:rsidR="00C54CD4">
        <w:t>4</w:t>
      </w:r>
      <w:r w:rsidRPr="00B7014C" w:rsidR="00671F93">
        <w:t>7</w:t>
      </w:r>
      <w:r w:rsidRPr="00B7014C">
        <w:t xml:space="preserve">) and the number imported into Harrow’s high schools was only </w:t>
      </w:r>
      <w:r w:rsidRPr="00B7014C" w:rsidR="00AE2D1B">
        <w:t>2,468</w:t>
      </w:r>
      <w:r w:rsidRPr="00B7014C" w:rsidR="008C582C">
        <w:t xml:space="preserve"> </w:t>
      </w:r>
      <w:r w:rsidRPr="00B7014C">
        <w:t>(January 201</w:t>
      </w:r>
      <w:r w:rsidRPr="00B7014C" w:rsidR="008C582C">
        <w:t>9</w:t>
      </w:r>
      <w:r w:rsidRPr="00B7014C">
        <w:t xml:space="preserve"> </w:t>
      </w:r>
      <w:r w:rsidRPr="00B7014C" w:rsidR="00E76C21">
        <w:t>–</w:t>
      </w:r>
      <w:r w:rsidRPr="00B7014C">
        <w:t xml:space="preserve"> </w:t>
      </w:r>
      <w:r w:rsidRPr="00B7014C" w:rsidR="00671F93">
        <w:t>2,</w:t>
      </w:r>
      <w:r w:rsidRPr="00B7014C" w:rsidR="008C582C">
        <w:t>359</w:t>
      </w:r>
      <w:r w:rsidRPr="00B7014C">
        <w:t xml:space="preserve">), resulting in a loss of </w:t>
      </w:r>
      <w:r w:rsidRPr="00B7014C" w:rsidR="00276414">
        <w:t>1,</w:t>
      </w:r>
      <w:r w:rsidRPr="00B7014C" w:rsidR="00941C8F">
        <w:t>169</w:t>
      </w:r>
      <w:r w:rsidRPr="00B7014C">
        <w:t xml:space="preserve"> pupils (January 201</w:t>
      </w:r>
      <w:r w:rsidRPr="00B7014C" w:rsidR="00F21D99">
        <w:t>9</w:t>
      </w:r>
      <w:r w:rsidRPr="00B7014C">
        <w:t xml:space="preserve"> </w:t>
      </w:r>
      <w:r w:rsidRPr="00B7014C" w:rsidR="00E76C21">
        <w:t>–</w:t>
      </w:r>
      <w:r w:rsidRPr="00B7014C">
        <w:t xml:space="preserve"> </w:t>
      </w:r>
      <w:r w:rsidRPr="00B7014C" w:rsidR="00E76C21">
        <w:t>1,</w:t>
      </w:r>
      <w:r w:rsidRPr="00B7014C" w:rsidR="00941C8F">
        <w:t>388</w:t>
      </w:r>
      <w:r w:rsidRPr="00B7014C">
        <w:t xml:space="preserve">).  This is </w:t>
      </w:r>
      <w:r w:rsidRPr="00B7014C" w:rsidR="00276414">
        <w:t>lower</w:t>
      </w:r>
      <w:r w:rsidRPr="00B7014C" w:rsidR="00671F93">
        <w:t xml:space="preserve"> than the loss in January 2017 of 1,435 resident pupils</w:t>
      </w:r>
      <w:r w:rsidRPr="00B7014C" w:rsidR="00276414">
        <w:t>,</w:t>
      </w:r>
      <w:r w:rsidRPr="00B7014C" w:rsidR="00671F93">
        <w:t xml:space="preserve"> 1,528</w:t>
      </w:r>
      <w:r w:rsidRPr="00B7014C">
        <w:t xml:space="preserve"> in January 201</w:t>
      </w:r>
      <w:r w:rsidRPr="00B7014C" w:rsidR="00E76C21">
        <w:t>6</w:t>
      </w:r>
      <w:r w:rsidRPr="00B7014C">
        <w:t xml:space="preserve"> and 1,</w:t>
      </w:r>
      <w:r w:rsidRPr="00B7014C" w:rsidR="00E76C21">
        <w:t>554</w:t>
      </w:r>
      <w:r w:rsidRPr="00B7014C">
        <w:t xml:space="preserve"> loss in January 201</w:t>
      </w:r>
      <w:r w:rsidRPr="00B7014C" w:rsidR="00E76C21">
        <w:t>5</w:t>
      </w:r>
      <w:r w:rsidRPr="00B7014C">
        <w:t xml:space="preserve">.    </w:t>
      </w:r>
    </w:p>
    <w:p w:rsidRPr="00B7014C" w:rsidR="00A16979" w:rsidP="00A16979" w:rsidRDefault="00A16979" w14:paraId="2C2AA750" w14:textId="77777777"/>
    <w:p w:rsidRPr="00B7014C" w:rsidR="00A16979" w:rsidP="00A16979" w:rsidRDefault="00A16979" w14:paraId="7B6170AA" w14:textId="2075594D">
      <w:r w:rsidRPr="00B7014C">
        <w:t xml:space="preserve">There was a </w:t>
      </w:r>
      <w:r w:rsidRPr="00B7014C" w:rsidR="00CF1389">
        <w:t>3%</w:t>
      </w:r>
      <w:r w:rsidRPr="00B7014C">
        <w:t xml:space="preserve"> </w:t>
      </w:r>
      <w:r w:rsidRPr="00B7014C" w:rsidR="00CF1389">
        <w:t xml:space="preserve">reduction </w:t>
      </w:r>
      <w:r w:rsidRPr="00B7014C">
        <w:t>(</w:t>
      </w:r>
      <w:r w:rsidRPr="00B7014C" w:rsidR="002B5ECE">
        <w:t>1</w:t>
      </w:r>
      <w:r w:rsidRPr="00B7014C" w:rsidR="00276414">
        <w:t>0</w:t>
      </w:r>
      <w:r w:rsidRPr="00B7014C" w:rsidR="00357616">
        <w:t>7</w:t>
      </w:r>
      <w:r w:rsidRPr="00B7014C">
        <w:t xml:space="preserve"> pupils) in the number of Harrow’s resident pupils attending high schools in another borough</w:t>
      </w:r>
      <w:r w:rsidRPr="00B7014C" w:rsidR="002B5ECE">
        <w:t xml:space="preserve"> (</w:t>
      </w:r>
      <w:r w:rsidRPr="00B7014C" w:rsidR="00E76C21">
        <w:t>3,7</w:t>
      </w:r>
      <w:r w:rsidRPr="00B7014C" w:rsidR="00276414">
        <w:t>4</w:t>
      </w:r>
      <w:r w:rsidRPr="00B7014C" w:rsidR="00E76C21">
        <w:t xml:space="preserve">7 </w:t>
      </w:r>
      <w:r w:rsidRPr="00B7014C">
        <w:t>in January 201</w:t>
      </w:r>
      <w:r w:rsidRPr="00B7014C" w:rsidR="00276414">
        <w:t>9</w:t>
      </w:r>
      <w:r w:rsidRPr="00B7014C" w:rsidR="008E29E7">
        <w:t xml:space="preserve"> to 3,637 in January 2020)</w:t>
      </w:r>
      <w:r w:rsidRPr="00B7014C">
        <w:t>.</w:t>
      </w:r>
      <w:r w:rsidRPr="00B7014C" w:rsidR="00276414">
        <w:t xml:space="preserve"> </w:t>
      </w:r>
      <w:r w:rsidRPr="00B7014C">
        <w:t xml:space="preserve">The table below shows where Harrow’s resident pupils have gone to high schools outside of the borough over the last </w:t>
      </w:r>
      <w:r w:rsidRPr="00B7014C" w:rsidR="00107D5B">
        <w:t>4</w:t>
      </w:r>
      <w:r w:rsidRPr="00B7014C">
        <w:t xml:space="preserve"> years.</w:t>
      </w:r>
    </w:p>
    <w:p w:rsidRPr="00B7014C" w:rsidR="00A16979" w:rsidP="00A16979" w:rsidRDefault="00A16979" w14:paraId="642C2A55" w14:textId="77777777">
      <w:r w:rsidRPr="00B7014C">
        <w:t xml:space="preserve">   </w:t>
      </w:r>
    </w:p>
    <w:p w:rsidRPr="00B7014C" w:rsidR="00A16979" w:rsidP="00A16979" w:rsidRDefault="00A16979" w14:paraId="0D60F365" w14:textId="77777777"/>
    <w:p w:rsidRPr="00B7014C" w:rsidR="00A16979" w:rsidP="00A16979" w:rsidRDefault="00A16979" w14:paraId="5B662E79" w14:textId="77777777"/>
    <w:p w:rsidRPr="00B7014C" w:rsidR="00A16979" w:rsidP="00A16979" w:rsidRDefault="00A16979" w14:paraId="7A11CE6A" w14:textId="77777777"/>
    <w:p w:rsidRPr="00B7014C" w:rsidR="00A16979" w:rsidP="00A16979" w:rsidRDefault="00A16979" w14:paraId="1828BF62" w14:textId="77777777"/>
    <w:p w:rsidRPr="00B7014C" w:rsidR="00A16979" w:rsidP="00A16979" w:rsidRDefault="00A16979" w14:paraId="6E42C447" w14:textId="77777777"/>
    <w:p w:rsidRPr="00B7014C" w:rsidR="00A16979" w:rsidP="00A16979" w:rsidRDefault="00FC14D1" w14:paraId="6C82B3F3" w14:textId="133CCA80">
      <w:r w:rsidRPr="00B7014C">
        <w:lastRenderedPageBreak/>
        <w:t>Table 7</w:t>
      </w:r>
      <w:r w:rsidRPr="00B7014C" w:rsidR="00A16979">
        <w:t>: Harrow’s resident pupils attending high schools in other boroughs</w:t>
      </w:r>
    </w:p>
    <w:tbl>
      <w:tblPr>
        <w:tblW w:w="4040" w:type="pct"/>
        <w:tblLook w:val="04A0" w:firstRow="1" w:lastRow="0" w:firstColumn="1" w:lastColumn="0" w:noHBand="0" w:noVBand="1"/>
      </w:tblPr>
      <w:tblGrid>
        <w:gridCol w:w="4295"/>
        <w:gridCol w:w="982"/>
        <w:gridCol w:w="983"/>
        <w:gridCol w:w="983"/>
        <w:gridCol w:w="986"/>
      </w:tblGrid>
      <w:tr w:rsidRPr="00B7014C" w:rsidR="00C014B1" w:rsidTr="00107EEF" w14:paraId="747759D1" w14:textId="0F1F22EF">
        <w:trPr>
          <w:trHeight w:val="330"/>
        </w:trPr>
        <w:tc>
          <w:tcPr>
            <w:tcW w:w="2610" w:type="pct"/>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B7014C" w:rsidR="00C014B1" w:rsidP="00817984" w:rsidRDefault="00C014B1" w14:paraId="42BC9CF8" w14:textId="77777777">
            <w:pPr>
              <w:rPr>
                <w:b/>
                <w:bCs/>
                <w:color w:val="000000"/>
                <w:sz w:val="22"/>
                <w:szCs w:val="22"/>
                <w:lang w:eastAsia="en-GB"/>
              </w:rPr>
            </w:pPr>
            <w:r w:rsidRPr="00B7014C">
              <w:rPr>
                <w:b/>
                <w:bCs/>
                <w:color w:val="000000"/>
                <w:sz w:val="22"/>
                <w:szCs w:val="22"/>
                <w:lang w:eastAsia="en-GB"/>
              </w:rPr>
              <w:t>High School LA</w:t>
            </w:r>
          </w:p>
        </w:tc>
        <w:tc>
          <w:tcPr>
            <w:tcW w:w="2390" w:type="pct"/>
            <w:gridSpan w:val="4"/>
            <w:tcBorders>
              <w:top w:val="single" w:color="auto" w:sz="8" w:space="0"/>
              <w:left w:val="nil"/>
              <w:bottom w:val="single" w:color="auto" w:sz="8" w:space="0"/>
              <w:right w:val="single" w:color="000000" w:sz="8" w:space="0"/>
            </w:tcBorders>
            <w:shd w:val="clear" w:color="auto" w:fill="auto"/>
            <w:vAlign w:val="center"/>
            <w:hideMark/>
          </w:tcPr>
          <w:p w:rsidRPr="00B7014C" w:rsidR="00C014B1" w:rsidP="00C014B1" w:rsidRDefault="00C014B1" w14:paraId="388BF0BC" w14:textId="27D6AC89">
            <w:pPr>
              <w:jc w:val="center"/>
              <w:rPr>
                <w:b/>
                <w:bCs/>
                <w:color w:val="000000"/>
                <w:sz w:val="22"/>
                <w:szCs w:val="22"/>
                <w:lang w:eastAsia="en-GB"/>
              </w:rPr>
            </w:pPr>
            <w:r w:rsidRPr="00B7014C">
              <w:rPr>
                <w:b/>
                <w:bCs/>
                <w:color w:val="000000"/>
                <w:sz w:val="22"/>
                <w:szCs w:val="22"/>
                <w:lang w:eastAsia="en-GB"/>
              </w:rPr>
              <w:t>Pupil residents of Harrow</w:t>
            </w:r>
          </w:p>
        </w:tc>
      </w:tr>
      <w:tr w:rsidRPr="00B7014C" w:rsidR="00F35951" w:rsidTr="00107EEF" w14:paraId="0A5457D8" w14:textId="3760CD0F">
        <w:trPr>
          <w:trHeight w:val="330"/>
        </w:trPr>
        <w:tc>
          <w:tcPr>
            <w:tcW w:w="2610" w:type="pct"/>
            <w:vMerge/>
            <w:tcBorders>
              <w:top w:val="single" w:color="auto" w:sz="8" w:space="0"/>
              <w:left w:val="single" w:color="auto" w:sz="8" w:space="0"/>
              <w:bottom w:val="single" w:color="000000" w:sz="8" w:space="0"/>
              <w:right w:val="single" w:color="auto" w:sz="8" w:space="0"/>
            </w:tcBorders>
            <w:vAlign w:val="center"/>
            <w:hideMark/>
          </w:tcPr>
          <w:p w:rsidRPr="00B7014C" w:rsidR="00F35951" w:rsidP="00817984" w:rsidRDefault="00F35951" w14:paraId="21BDA721" w14:textId="77777777">
            <w:pPr>
              <w:rPr>
                <w:b/>
                <w:bCs/>
                <w:color w:val="000000"/>
                <w:sz w:val="22"/>
                <w:szCs w:val="22"/>
                <w:lang w:eastAsia="en-GB"/>
              </w:rPr>
            </w:pP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F35951" w:rsidP="00C014B1" w:rsidRDefault="00F35951" w14:paraId="03C16EBD" w14:textId="77777777">
            <w:pPr>
              <w:jc w:val="center"/>
              <w:rPr>
                <w:b/>
                <w:bCs/>
                <w:color w:val="000000"/>
                <w:sz w:val="22"/>
                <w:szCs w:val="22"/>
                <w:lang w:eastAsia="en-GB"/>
              </w:rPr>
            </w:pPr>
            <w:r w:rsidRPr="00B7014C">
              <w:rPr>
                <w:b/>
                <w:bCs/>
                <w:color w:val="000000"/>
                <w:sz w:val="22"/>
                <w:szCs w:val="22"/>
                <w:lang w:eastAsia="en-GB"/>
              </w:rPr>
              <w:t>Jan-17</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F35951" w:rsidP="00C014B1" w:rsidRDefault="00F35951" w14:paraId="2EC202A8" w14:textId="77777777">
            <w:pPr>
              <w:jc w:val="center"/>
              <w:rPr>
                <w:b/>
                <w:bCs/>
                <w:color w:val="000000"/>
                <w:sz w:val="22"/>
                <w:szCs w:val="22"/>
                <w:lang w:eastAsia="en-GB"/>
              </w:rPr>
            </w:pPr>
            <w:r w:rsidRPr="00B7014C">
              <w:rPr>
                <w:b/>
                <w:bCs/>
                <w:color w:val="000000"/>
                <w:sz w:val="22"/>
                <w:szCs w:val="22"/>
                <w:lang w:eastAsia="en-GB"/>
              </w:rPr>
              <w:t>Jan-18</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F35951" w:rsidP="00C014B1" w:rsidRDefault="00F35951" w14:paraId="63ECB122" w14:textId="77777777">
            <w:pPr>
              <w:jc w:val="center"/>
              <w:rPr>
                <w:b/>
                <w:bCs/>
                <w:color w:val="000000"/>
                <w:sz w:val="22"/>
                <w:szCs w:val="22"/>
                <w:lang w:eastAsia="en-GB"/>
              </w:rPr>
            </w:pPr>
            <w:r w:rsidRPr="00B7014C">
              <w:rPr>
                <w:b/>
                <w:bCs/>
                <w:color w:val="000000"/>
                <w:sz w:val="22"/>
                <w:szCs w:val="22"/>
                <w:lang w:eastAsia="en-GB"/>
              </w:rPr>
              <w:t>Jan-19</w:t>
            </w:r>
          </w:p>
        </w:tc>
        <w:tc>
          <w:tcPr>
            <w:tcW w:w="598" w:type="pct"/>
            <w:tcBorders>
              <w:top w:val="nil"/>
              <w:left w:val="nil"/>
              <w:bottom w:val="single" w:color="auto" w:sz="8" w:space="0"/>
              <w:right w:val="single" w:color="auto" w:sz="8" w:space="0"/>
            </w:tcBorders>
            <w:vAlign w:val="center"/>
          </w:tcPr>
          <w:p w:rsidRPr="00B7014C" w:rsidR="00F35951" w:rsidP="00C014B1" w:rsidRDefault="00C014B1" w14:paraId="17A79B35" w14:textId="4F7A02A1">
            <w:pPr>
              <w:jc w:val="center"/>
              <w:rPr>
                <w:b/>
                <w:bCs/>
                <w:color w:val="000000"/>
                <w:sz w:val="22"/>
                <w:szCs w:val="22"/>
                <w:lang w:eastAsia="en-GB"/>
              </w:rPr>
            </w:pPr>
            <w:r w:rsidRPr="00B7014C">
              <w:rPr>
                <w:b/>
                <w:bCs/>
                <w:color w:val="000000"/>
                <w:sz w:val="22"/>
                <w:szCs w:val="22"/>
                <w:lang w:eastAsia="en-GB"/>
              </w:rPr>
              <w:t>Jan-20</w:t>
            </w:r>
          </w:p>
        </w:tc>
      </w:tr>
      <w:tr w:rsidRPr="00B7014C" w:rsidR="00107EEF" w:rsidTr="00107EEF" w14:paraId="699CEF68" w14:textId="77777777">
        <w:trPr>
          <w:trHeight w:val="315"/>
        </w:trPr>
        <w:tc>
          <w:tcPr>
            <w:tcW w:w="2610" w:type="pct"/>
            <w:tcBorders>
              <w:top w:val="nil"/>
              <w:left w:val="single" w:color="auto" w:sz="8" w:space="0"/>
              <w:bottom w:val="single" w:color="auto" w:sz="8" w:space="0"/>
              <w:right w:val="single" w:color="auto" w:sz="8" w:space="0"/>
            </w:tcBorders>
            <w:shd w:val="clear" w:color="auto" w:fill="auto"/>
            <w:noWrap/>
            <w:vAlign w:val="center"/>
          </w:tcPr>
          <w:p w:rsidRPr="00B7014C" w:rsidR="00107EEF" w:rsidP="00107EEF" w:rsidRDefault="00107EEF" w14:paraId="4EC4AB1C" w14:textId="68EC86EC">
            <w:pPr>
              <w:rPr>
                <w:color w:val="000000"/>
                <w:sz w:val="22"/>
                <w:szCs w:val="22"/>
                <w:lang w:eastAsia="en-GB"/>
              </w:rPr>
            </w:pPr>
            <w:r w:rsidRPr="00B7014C">
              <w:rPr>
                <w:color w:val="000000"/>
                <w:sz w:val="22"/>
                <w:szCs w:val="22"/>
                <w:lang w:eastAsia="en-GB"/>
              </w:rPr>
              <w:t>High Schools in Hillingdon</w:t>
            </w:r>
          </w:p>
        </w:tc>
        <w:tc>
          <w:tcPr>
            <w:tcW w:w="597" w:type="pct"/>
            <w:tcBorders>
              <w:top w:val="nil"/>
              <w:left w:val="nil"/>
              <w:bottom w:val="single" w:color="auto" w:sz="8" w:space="0"/>
              <w:right w:val="single" w:color="auto" w:sz="8" w:space="0"/>
            </w:tcBorders>
            <w:shd w:val="clear" w:color="auto" w:fill="auto"/>
            <w:noWrap/>
            <w:vAlign w:val="center"/>
          </w:tcPr>
          <w:p w:rsidRPr="00B7014C" w:rsidR="00107EEF" w:rsidP="00107EEF" w:rsidRDefault="00107EEF" w14:paraId="69E53F2A" w14:textId="55010BC9">
            <w:pPr>
              <w:jc w:val="center"/>
              <w:rPr>
                <w:color w:val="000000"/>
                <w:sz w:val="22"/>
                <w:szCs w:val="22"/>
                <w:lang w:eastAsia="en-GB"/>
              </w:rPr>
            </w:pPr>
            <w:r w:rsidRPr="00B7014C">
              <w:rPr>
                <w:color w:val="000000"/>
                <w:sz w:val="22"/>
                <w:szCs w:val="22"/>
                <w:lang w:eastAsia="en-GB"/>
              </w:rPr>
              <w:t>836</w:t>
            </w:r>
          </w:p>
        </w:tc>
        <w:tc>
          <w:tcPr>
            <w:tcW w:w="597" w:type="pct"/>
            <w:tcBorders>
              <w:top w:val="nil"/>
              <w:left w:val="nil"/>
              <w:bottom w:val="single" w:color="auto" w:sz="8" w:space="0"/>
              <w:right w:val="single" w:color="auto" w:sz="8" w:space="0"/>
            </w:tcBorders>
            <w:shd w:val="clear" w:color="auto" w:fill="auto"/>
            <w:noWrap/>
            <w:vAlign w:val="center"/>
          </w:tcPr>
          <w:p w:rsidRPr="00B7014C" w:rsidR="00107EEF" w:rsidP="00107EEF" w:rsidRDefault="00107EEF" w14:paraId="1AB520FA" w14:textId="242E081F">
            <w:pPr>
              <w:jc w:val="center"/>
              <w:rPr>
                <w:color w:val="000000"/>
                <w:sz w:val="22"/>
                <w:szCs w:val="22"/>
                <w:lang w:eastAsia="en-GB"/>
              </w:rPr>
            </w:pPr>
            <w:r w:rsidRPr="00B7014C">
              <w:rPr>
                <w:color w:val="000000"/>
                <w:sz w:val="22"/>
                <w:szCs w:val="22"/>
                <w:lang w:eastAsia="en-GB"/>
              </w:rPr>
              <w:t>836</w:t>
            </w:r>
          </w:p>
        </w:tc>
        <w:tc>
          <w:tcPr>
            <w:tcW w:w="597" w:type="pct"/>
            <w:tcBorders>
              <w:top w:val="nil"/>
              <w:left w:val="nil"/>
              <w:bottom w:val="single" w:color="auto" w:sz="8" w:space="0"/>
              <w:right w:val="single" w:color="auto" w:sz="8" w:space="0"/>
            </w:tcBorders>
            <w:shd w:val="clear" w:color="auto" w:fill="auto"/>
            <w:noWrap/>
            <w:vAlign w:val="center"/>
          </w:tcPr>
          <w:p w:rsidRPr="00B7014C" w:rsidR="00107EEF" w:rsidP="00107EEF" w:rsidRDefault="00107EEF" w14:paraId="31BECDD2" w14:textId="14FA4888">
            <w:pPr>
              <w:jc w:val="center"/>
              <w:rPr>
                <w:color w:val="000000"/>
                <w:sz w:val="22"/>
                <w:szCs w:val="22"/>
                <w:lang w:eastAsia="en-GB"/>
              </w:rPr>
            </w:pPr>
            <w:r w:rsidRPr="00B7014C">
              <w:rPr>
                <w:color w:val="000000"/>
                <w:sz w:val="22"/>
                <w:szCs w:val="22"/>
                <w:lang w:eastAsia="en-GB"/>
              </w:rPr>
              <w:t>868</w:t>
            </w:r>
          </w:p>
        </w:tc>
        <w:tc>
          <w:tcPr>
            <w:tcW w:w="598" w:type="pct"/>
            <w:tcBorders>
              <w:top w:val="nil"/>
              <w:left w:val="nil"/>
              <w:bottom w:val="single" w:color="auto" w:sz="8" w:space="0"/>
              <w:right w:val="single" w:color="auto" w:sz="8" w:space="0"/>
            </w:tcBorders>
            <w:vAlign w:val="center"/>
          </w:tcPr>
          <w:p w:rsidRPr="00B7014C" w:rsidR="00107EEF" w:rsidP="00107EEF" w:rsidRDefault="00107EEF" w14:paraId="7FEAB133" w14:textId="60BD56E1">
            <w:pPr>
              <w:jc w:val="center"/>
              <w:rPr>
                <w:color w:val="000000"/>
                <w:sz w:val="22"/>
                <w:szCs w:val="22"/>
                <w:lang w:eastAsia="en-GB"/>
              </w:rPr>
            </w:pPr>
            <w:r w:rsidRPr="00B7014C">
              <w:rPr>
                <w:color w:val="000000"/>
                <w:sz w:val="22"/>
                <w:szCs w:val="22"/>
                <w:lang w:eastAsia="en-GB"/>
              </w:rPr>
              <w:t>868</w:t>
            </w:r>
          </w:p>
        </w:tc>
      </w:tr>
      <w:tr w:rsidRPr="00B7014C" w:rsidR="00107EEF" w:rsidTr="00107EEF" w14:paraId="3B7F4D88" w14:textId="4A342F2D">
        <w:trPr>
          <w:trHeight w:val="315"/>
        </w:trPr>
        <w:tc>
          <w:tcPr>
            <w:tcW w:w="2610" w:type="pct"/>
            <w:tcBorders>
              <w:top w:val="nil"/>
              <w:left w:val="single" w:color="auto" w:sz="8" w:space="0"/>
              <w:bottom w:val="single" w:color="auto" w:sz="8" w:space="0"/>
              <w:right w:val="single" w:color="auto" w:sz="8" w:space="0"/>
            </w:tcBorders>
            <w:shd w:val="clear" w:color="auto" w:fill="auto"/>
            <w:noWrap/>
            <w:vAlign w:val="center"/>
            <w:hideMark/>
          </w:tcPr>
          <w:p w:rsidRPr="00B7014C" w:rsidR="00107EEF" w:rsidP="00107EEF" w:rsidRDefault="00107EEF" w14:paraId="60BAC1EC" w14:textId="77777777">
            <w:pPr>
              <w:rPr>
                <w:color w:val="000000"/>
                <w:sz w:val="22"/>
                <w:szCs w:val="22"/>
                <w:lang w:eastAsia="en-GB"/>
              </w:rPr>
            </w:pPr>
            <w:r w:rsidRPr="00B7014C">
              <w:rPr>
                <w:color w:val="000000"/>
                <w:sz w:val="22"/>
                <w:szCs w:val="22"/>
                <w:lang w:eastAsia="en-GB"/>
              </w:rPr>
              <w:t>High Schools in Brent</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77AE6D5F" w14:textId="77777777">
            <w:pPr>
              <w:jc w:val="center"/>
              <w:rPr>
                <w:color w:val="000000"/>
                <w:sz w:val="22"/>
                <w:szCs w:val="22"/>
                <w:lang w:eastAsia="en-GB"/>
              </w:rPr>
            </w:pPr>
            <w:r w:rsidRPr="00B7014C">
              <w:rPr>
                <w:color w:val="000000"/>
                <w:sz w:val="22"/>
                <w:szCs w:val="22"/>
                <w:lang w:eastAsia="en-GB"/>
              </w:rPr>
              <w:t>821</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79A6D244" w14:textId="77777777">
            <w:pPr>
              <w:jc w:val="center"/>
              <w:rPr>
                <w:color w:val="000000"/>
                <w:sz w:val="22"/>
                <w:szCs w:val="22"/>
                <w:lang w:eastAsia="en-GB"/>
              </w:rPr>
            </w:pPr>
            <w:r w:rsidRPr="00B7014C">
              <w:rPr>
                <w:color w:val="000000"/>
                <w:sz w:val="22"/>
                <w:szCs w:val="22"/>
                <w:lang w:eastAsia="en-GB"/>
              </w:rPr>
              <w:t>862</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0FDD652E" w14:textId="77777777">
            <w:pPr>
              <w:jc w:val="center"/>
              <w:rPr>
                <w:color w:val="000000"/>
                <w:sz w:val="22"/>
                <w:szCs w:val="22"/>
                <w:lang w:eastAsia="en-GB"/>
              </w:rPr>
            </w:pPr>
            <w:r w:rsidRPr="00B7014C">
              <w:rPr>
                <w:color w:val="000000"/>
                <w:sz w:val="22"/>
                <w:szCs w:val="22"/>
                <w:lang w:eastAsia="en-GB"/>
              </w:rPr>
              <w:t>893</w:t>
            </w:r>
          </w:p>
        </w:tc>
        <w:tc>
          <w:tcPr>
            <w:tcW w:w="598" w:type="pct"/>
            <w:tcBorders>
              <w:top w:val="nil"/>
              <w:left w:val="nil"/>
              <w:bottom w:val="single" w:color="auto" w:sz="8" w:space="0"/>
              <w:right w:val="single" w:color="auto" w:sz="8" w:space="0"/>
            </w:tcBorders>
            <w:vAlign w:val="center"/>
          </w:tcPr>
          <w:p w:rsidRPr="00B7014C" w:rsidR="00107EEF" w:rsidP="00107EEF" w:rsidRDefault="00107EEF" w14:paraId="4F02A019" w14:textId="2077A7BD">
            <w:pPr>
              <w:jc w:val="center"/>
              <w:rPr>
                <w:color w:val="000000"/>
                <w:sz w:val="22"/>
                <w:szCs w:val="22"/>
                <w:lang w:eastAsia="en-GB"/>
              </w:rPr>
            </w:pPr>
            <w:r w:rsidRPr="00B7014C">
              <w:rPr>
                <w:color w:val="000000"/>
                <w:sz w:val="22"/>
                <w:szCs w:val="22"/>
                <w:lang w:eastAsia="en-GB"/>
              </w:rPr>
              <w:t>862</w:t>
            </w:r>
          </w:p>
        </w:tc>
      </w:tr>
      <w:tr w:rsidRPr="00B7014C" w:rsidR="00107EEF" w:rsidTr="00107EEF" w14:paraId="3C7309E1" w14:textId="0AEC0FBA">
        <w:trPr>
          <w:trHeight w:val="315"/>
        </w:trPr>
        <w:tc>
          <w:tcPr>
            <w:tcW w:w="2610" w:type="pct"/>
            <w:tcBorders>
              <w:top w:val="nil"/>
              <w:left w:val="single" w:color="auto" w:sz="8" w:space="0"/>
              <w:bottom w:val="single" w:color="auto" w:sz="8" w:space="0"/>
              <w:right w:val="single" w:color="auto" w:sz="8" w:space="0"/>
            </w:tcBorders>
            <w:shd w:val="clear" w:color="auto" w:fill="auto"/>
            <w:noWrap/>
            <w:vAlign w:val="center"/>
            <w:hideMark/>
          </w:tcPr>
          <w:p w:rsidRPr="00B7014C" w:rsidR="00107EEF" w:rsidP="00107EEF" w:rsidRDefault="00107EEF" w14:paraId="0F5BB6E5" w14:textId="77777777">
            <w:pPr>
              <w:rPr>
                <w:color w:val="000000"/>
                <w:sz w:val="22"/>
                <w:szCs w:val="22"/>
                <w:lang w:eastAsia="en-GB"/>
              </w:rPr>
            </w:pPr>
            <w:r w:rsidRPr="00B7014C">
              <w:rPr>
                <w:color w:val="000000"/>
                <w:sz w:val="22"/>
                <w:szCs w:val="22"/>
                <w:lang w:eastAsia="en-GB"/>
              </w:rPr>
              <w:t>High Schools in Hertfordshire</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4C842BE2" w14:textId="77777777">
            <w:pPr>
              <w:jc w:val="center"/>
              <w:rPr>
                <w:color w:val="000000"/>
                <w:sz w:val="22"/>
                <w:szCs w:val="22"/>
                <w:lang w:eastAsia="en-GB"/>
              </w:rPr>
            </w:pPr>
            <w:r w:rsidRPr="00B7014C">
              <w:rPr>
                <w:color w:val="000000"/>
                <w:sz w:val="22"/>
                <w:szCs w:val="22"/>
                <w:lang w:eastAsia="en-GB"/>
              </w:rPr>
              <w:t>759</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05945BE4" w14:textId="77777777">
            <w:pPr>
              <w:jc w:val="center"/>
              <w:rPr>
                <w:color w:val="000000"/>
                <w:sz w:val="22"/>
                <w:szCs w:val="22"/>
                <w:lang w:eastAsia="en-GB"/>
              </w:rPr>
            </w:pPr>
            <w:r w:rsidRPr="00B7014C">
              <w:rPr>
                <w:color w:val="000000"/>
                <w:sz w:val="22"/>
                <w:szCs w:val="22"/>
                <w:lang w:eastAsia="en-GB"/>
              </w:rPr>
              <w:t>824</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2795E4B0" w14:textId="77777777">
            <w:pPr>
              <w:jc w:val="center"/>
              <w:rPr>
                <w:color w:val="000000"/>
                <w:sz w:val="22"/>
                <w:szCs w:val="22"/>
                <w:lang w:eastAsia="en-GB"/>
              </w:rPr>
            </w:pPr>
            <w:r w:rsidRPr="00B7014C">
              <w:rPr>
                <w:color w:val="000000"/>
                <w:sz w:val="22"/>
                <w:szCs w:val="22"/>
                <w:lang w:eastAsia="en-GB"/>
              </w:rPr>
              <w:t>841</w:t>
            </w:r>
          </w:p>
        </w:tc>
        <w:tc>
          <w:tcPr>
            <w:tcW w:w="598" w:type="pct"/>
            <w:tcBorders>
              <w:top w:val="nil"/>
              <w:left w:val="nil"/>
              <w:bottom w:val="single" w:color="auto" w:sz="8" w:space="0"/>
              <w:right w:val="single" w:color="auto" w:sz="8" w:space="0"/>
            </w:tcBorders>
            <w:vAlign w:val="center"/>
          </w:tcPr>
          <w:p w:rsidRPr="00B7014C" w:rsidR="00107EEF" w:rsidP="00107EEF" w:rsidRDefault="00107EEF" w14:paraId="1D241389" w14:textId="0E3A32F2">
            <w:pPr>
              <w:jc w:val="center"/>
              <w:rPr>
                <w:color w:val="000000"/>
                <w:sz w:val="22"/>
                <w:szCs w:val="22"/>
                <w:lang w:eastAsia="en-GB"/>
              </w:rPr>
            </w:pPr>
            <w:r w:rsidRPr="00B7014C">
              <w:rPr>
                <w:color w:val="000000"/>
                <w:sz w:val="22"/>
                <w:szCs w:val="22"/>
                <w:lang w:eastAsia="en-GB"/>
              </w:rPr>
              <w:t>828</w:t>
            </w:r>
          </w:p>
        </w:tc>
      </w:tr>
      <w:tr w:rsidRPr="00B7014C" w:rsidR="00107EEF" w:rsidTr="00107EEF" w14:paraId="017A4E91" w14:textId="6A271E55">
        <w:trPr>
          <w:trHeight w:val="315"/>
        </w:trPr>
        <w:tc>
          <w:tcPr>
            <w:tcW w:w="2610" w:type="pct"/>
            <w:tcBorders>
              <w:top w:val="nil"/>
              <w:left w:val="single" w:color="auto" w:sz="8" w:space="0"/>
              <w:bottom w:val="single" w:color="auto" w:sz="8" w:space="0"/>
              <w:right w:val="single" w:color="auto" w:sz="8" w:space="0"/>
            </w:tcBorders>
            <w:shd w:val="clear" w:color="auto" w:fill="auto"/>
            <w:noWrap/>
            <w:vAlign w:val="center"/>
            <w:hideMark/>
          </w:tcPr>
          <w:p w:rsidRPr="00B7014C" w:rsidR="00107EEF" w:rsidP="00107EEF" w:rsidRDefault="00107EEF" w14:paraId="244EE3B1" w14:textId="77777777">
            <w:pPr>
              <w:rPr>
                <w:color w:val="000000"/>
                <w:sz w:val="22"/>
                <w:szCs w:val="22"/>
                <w:lang w:eastAsia="en-GB"/>
              </w:rPr>
            </w:pPr>
            <w:r w:rsidRPr="00B7014C">
              <w:rPr>
                <w:color w:val="000000"/>
                <w:sz w:val="22"/>
                <w:szCs w:val="22"/>
                <w:lang w:eastAsia="en-GB"/>
              </w:rPr>
              <w:t>High Schools in Barnet</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0181C6CF" w14:textId="77777777">
            <w:pPr>
              <w:jc w:val="center"/>
              <w:rPr>
                <w:color w:val="000000"/>
                <w:sz w:val="22"/>
                <w:szCs w:val="22"/>
                <w:lang w:eastAsia="en-GB"/>
              </w:rPr>
            </w:pPr>
            <w:r w:rsidRPr="00B7014C">
              <w:rPr>
                <w:color w:val="000000"/>
                <w:sz w:val="22"/>
                <w:szCs w:val="22"/>
                <w:lang w:eastAsia="en-GB"/>
              </w:rPr>
              <w:t>739</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6AB4ADF1" w14:textId="77777777">
            <w:pPr>
              <w:jc w:val="center"/>
              <w:rPr>
                <w:color w:val="000000"/>
                <w:sz w:val="22"/>
                <w:szCs w:val="22"/>
                <w:lang w:eastAsia="en-GB"/>
              </w:rPr>
            </w:pPr>
            <w:r w:rsidRPr="00B7014C">
              <w:rPr>
                <w:color w:val="000000"/>
                <w:sz w:val="22"/>
                <w:szCs w:val="22"/>
                <w:lang w:eastAsia="en-GB"/>
              </w:rPr>
              <w:t>706</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3081DFFA" w14:textId="77777777">
            <w:pPr>
              <w:jc w:val="center"/>
              <w:rPr>
                <w:color w:val="000000"/>
                <w:sz w:val="22"/>
                <w:szCs w:val="22"/>
                <w:lang w:eastAsia="en-GB"/>
              </w:rPr>
            </w:pPr>
            <w:r w:rsidRPr="00B7014C">
              <w:rPr>
                <w:color w:val="000000"/>
                <w:sz w:val="22"/>
                <w:szCs w:val="22"/>
                <w:lang w:eastAsia="en-GB"/>
              </w:rPr>
              <w:t>699</w:t>
            </w:r>
          </w:p>
        </w:tc>
        <w:tc>
          <w:tcPr>
            <w:tcW w:w="598" w:type="pct"/>
            <w:tcBorders>
              <w:top w:val="nil"/>
              <w:left w:val="nil"/>
              <w:bottom w:val="single" w:color="auto" w:sz="8" w:space="0"/>
              <w:right w:val="single" w:color="auto" w:sz="8" w:space="0"/>
            </w:tcBorders>
            <w:vAlign w:val="center"/>
          </w:tcPr>
          <w:p w:rsidRPr="00B7014C" w:rsidR="00107EEF" w:rsidP="00107EEF" w:rsidRDefault="00107EEF" w14:paraId="79C380E9" w14:textId="1B83112B">
            <w:pPr>
              <w:jc w:val="center"/>
              <w:rPr>
                <w:color w:val="000000"/>
                <w:sz w:val="22"/>
                <w:szCs w:val="22"/>
                <w:lang w:eastAsia="en-GB"/>
              </w:rPr>
            </w:pPr>
            <w:r w:rsidRPr="00B7014C">
              <w:rPr>
                <w:color w:val="000000"/>
                <w:sz w:val="22"/>
                <w:szCs w:val="22"/>
                <w:lang w:eastAsia="en-GB"/>
              </w:rPr>
              <w:t>647</w:t>
            </w:r>
          </w:p>
        </w:tc>
      </w:tr>
      <w:tr w:rsidRPr="00B7014C" w:rsidR="00107EEF" w:rsidTr="00107EEF" w14:paraId="03D50819" w14:textId="14CDB64B">
        <w:trPr>
          <w:trHeight w:val="315"/>
        </w:trPr>
        <w:tc>
          <w:tcPr>
            <w:tcW w:w="2610" w:type="pct"/>
            <w:tcBorders>
              <w:top w:val="nil"/>
              <w:left w:val="single" w:color="auto" w:sz="8" w:space="0"/>
              <w:bottom w:val="single" w:color="auto" w:sz="8" w:space="0"/>
              <w:right w:val="single" w:color="auto" w:sz="8" w:space="0"/>
            </w:tcBorders>
            <w:shd w:val="clear" w:color="auto" w:fill="auto"/>
            <w:noWrap/>
            <w:vAlign w:val="center"/>
            <w:hideMark/>
          </w:tcPr>
          <w:p w:rsidRPr="00B7014C" w:rsidR="00107EEF" w:rsidP="00107EEF" w:rsidRDefault="00107EEF" w14:paraId="4C24D4DC" w14:textId="77777777">
            <w:pPr>
              <w:rPr>
                <w:color w:val="000000"/>
                <w:sz w:val="22"/>
                <w:szCs w:val="22"/>
                <w:lang w:eastAsia="en-GB"/>
              </w:rPr>
            </w:pPr>
            <w:r w:rsidRPr="00B7014C">
              <w:rPr>
                <w:color w:val="000000"/>
                <w:sz w:val="22"/>
                <w:szCs w:val="22"/>
                <w:lang w:eastAsia="en-GB"/>
              </w:rPr>
              <w:t>High Schools in Buckinghamshire</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3C06E100" w14:textId="77777777">
            <w:pPr>
              <w:jc w:val="center"/>
              <w:rPr>
                <w:color w:val="000000"/>
                <w:sz w:val="22"/>
                <w:szCs w:val="22"/>
                <w:lang w:eastAsia="en-GB"/>
              </w:rPr>
            </w:pPr>
            <w:r w:rsidRPr="00B7014C">
              <w:rPr>
                <w:color w:val="000000"/>
                <w:sz w:val="22"/>
                <w:szCs w:val="22"/>
                <w:lang w:eastAsia="en-GB"/>
              </w:rPr>
              <w:t>116</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6EF2A393" w14:textId="77777777">
            <w:pPr>
              <w:jc w:val="center"/>
              <w:rPr>
                <w:color w:val="000000"/>
                <w:sz w:val="22"/>
                <w:szCs w:val="22"/>
                <w:lang w:eastAsia="en-GB"/>
              </w:rPr>
            </w:pPr>
            <w:r w:rsidRPr="00B7014C">
              <w:rPr>
                <w:color w:val="000000"/>
                <w:sz w:val="22"/>
                <w:szCs w:val="22"/>
                <w:lang w:eastAsia="en-GB"/>
              </w:rPr>
              <w:t>143</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6D7A31CA" w14:textId="77777777">
            <w:pPr>
              <w:jc w:val="center"/>
              <w:rPr>
                <w:color w:val="000000"/>
                <w:sz w:val="22"/>
                <w:szCs w:val="22"/>
                <w:lang w:eastAsia="en-GB"/>
              </w:rPr>
            </w:pPr>
            <w:r w:rsidRPr="00B7014C">
              <w:rPr>
                <w:color w:val="000000"/>
                <w:sz w:val="22"/>
                <w:szCs w:val="22"/>
                <w:lang w:eastAsia="en-GB"/>
              </w:rPr>
              <w:t>128</w:t>
            </w:r>
          </w:p>
        </w:tc>
        <w:tc>
          <w:tcPr>
            <w:tcW w:w="598" w:type="pct"/>
            <w:tcBorders>
              <w:top w:val="nil"/>
              <w:left w:val="nil"/>
              <w:bottom w:val="single" w:color="auto" w:sz="8" w:space="0"/>
              <w:right w:val="single" w:color="auto" w:sz="8" w:space="0"/>
            </w:tcBorders>
            <w:vAlign w:val="center"/>
          </w:tcPr>
          <w:p w:rsidRPr="00B7014C" w:rsidR="00107EEF" w:rsidP="00107EEF" w:rsidRDefault="00107EEF" w14:paraId="32D7195D" w14:textId="10EAE11E">
            <w:pPr>
              <w:jc w:val="center"/>
              <w:rPr>
                <w:color w:val="000000"/>
                <w:sz w:val="22"/>
                <w:szCs w:val="22"/>
                <w:lang w:eastAsia="en-GB"/>
              </w:rPr>
            </w:pPr>
            <w:r w:rsidRPr="00B7014C">
              <w:rPr>
                <w:color w:val="000000"/>
                <w:sz w:val="22"/>
                <w:szCs w:val="22"/>
                <w:lang w:eastAsia="en-GB"/>
              </w:rPr>
              <w:t>100</w:t>
            </w:r>
          </w:p>
        </w:tc>
      </w:tr>
      <w:tr w:rsidRPr="00B7014C" w:rsidR="00107EEF" w:rsidTr="00107EEF" w14:paraId="09EC9258" w14:textId="7AB08A01">
        <w:trPr>
          <w:trHeight w:val="315"/>
        </w:trPr>
        <w:tc>
          <w:tcPr>
            <w:tcW w:w="2610" w:type="pct"/>
            <w:tcBorders>
              <w:top w:val="nil"/>
              <w:left w:val="single" w:color="auto" w:sz="8" w:space="0"/>
              <w:bottom w:val="single" w:color="auto" w:sz="8" w:space="0"/>
              <w:right w:val="single" w:color="auto" w:sz="8" w:space="0"/>
            </w:tcBorders>
            <w:shd w:val="clear" w:color="auto" w:fill="auto"/>
            <w:noWrap/>
            <w:vAlign w:val="center"/>
            <w:hideMark/>
          </w:tcPr>
          <w:p w:rsidRPr="00B7014C" w:rsidR="00107EEF" w:rsidP="00107EEF" w:rsidRDefault="00107EEF" w14:paraId="1EA46859" w14:textId="77777777">
            <w:pPr>
              <w:rPr>
                <w:color w:val="000000"/>
                <w:sz w:val="22"/>
                <w:szCs w:val="22"/>
                <w:lang w:eastAsia="en-GB"/>
              </w:rPr>
            </w:pPr>
            <w:r w:rsidRPr="00B7014C">
              <w:rPr>
                <w:color w:val="000000"/>
                <w:sz w:val="22"/>
                <w:szCs w:val="22"/>
                <w:lang w:eastAsia="en-GB"/>
              </w:rPr>
              <w:t>High Schools in Ealing</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2443D9D4" w14:textId="77777777">
            <w:pPr>
              <w:jc w:val="center"/>
              <w:rPr>
                <w:color w:val="000000"/>
                <w:sz w:val="22"/>
                <w:szCs w:val="22"/>
                <w:lang w:eastAsia="en-GB"/>
              </w:rPr>
            </w:pPr>
            <w:r w:rsidRPr="00B7014C">
              <w:rPr>
                <w:color w:val="000000"/>
                <w:sz w:val="22"/>
                <w:szCs w:val="22"/>
                <w:lang w:eastAsia="en-GB"/>
              </w:rPr>
              <w:t>86</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5A085608" w14:textId="77777777">
            <w:pPr>
              <w:jc w:val="center"/>
              <w:rPr>
                <w:color w:val="000000"/>
                <w:sz w:val="22"/>
                <w:szCs w:val="22"/>
                <w:lang w:eastAsia="en-GB"/>
              </w:rPr>
            </w:pPr>
            <w:r w:rsidRPr="00B7014C">
              <w:rPr>
                <w:color w:val="000000"/>
                <w:sz w:val="22"/>
                <w:szCs w:val="22"/>
                <w:lang w:eastAsia="en-GB"/>
              </w:rPr>
              <w:t>110</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0CD95DB5" w14:textId="77777777">
            <w:pPr>
              <w:jc w:val="center"/>
              <w:rPr>
                <w:color w:val="000000"/>
                <w:sz w:val="22"/>
                <w:szCs w:val="22"/>
                <w:lang w:eastAsia="en-GB"/>
              </w:rPr>
            </w:pPr>
            <w:r w:rsidRPr="00B7014C">
              <w:rPr>
                <w:color w:val="000000"/>
                <w:sz w:val="22"/>
                <w:szCs w:val="22"/>
                <w:lang w:eastAsia="en-GB"/>
              </w:rPr>
              <w:t>92</w:t>
            </w:r>
          </w:p>
        </w:tc>
        <w:tc>
          <w:tcPr>
            <w:tcW w:w="598" w:type="pct"/>
            <w:tcBorders>
              <w:top w:val="nil"/>
              <w:left w:val="nil"/>
              <w:bottom w:val="single" w:color="auto" w:sz="8" w:space="0"/>
              <w:right w:val="single" w:color="auto" w:sz="8" w:space="0"/>
            </w:tcBorders>
            <w:vAlign w:val="center"/>
          </w:tcPr>
          <w:p w:rsidRPr="00B7014C" w:rsidR="00107EEF" w:rsidP="00107EEF" w:rsidRDefault="00107EEF" w14:paraId="61AB4498" w14:textId="0C231500">
            <w:pPr>
              <w:jc w:val="center"/>
              <w:rPr>
                <w:color w:val="000000"/>
                <w:sz w:val="22"/>
                <w:szCs w:val="22"/>
                <w:lang w:eastAsia="en-GB"/>
              </w:rPr>
            </w:pPr>
            <w:r w:rsidRPr="00B7014C">
              <w:rPr>
                <w:color w:val="000000"/>
                <w:sz w:val="22"/>
                <w:szCs w:val="22"/>
                <w:lang w:eastAsia="en-GB"/>
              </w:rPr>
              <w:t>94</w:t>
            </w:r>
          </w:p>
        </w:tc>
      </w:tr>
      <w:tr w:rsidRPr="00B7014C" w:rsidR="00107EEF" w:rsidTr="00107EEF" w14:paraId="26836BFA" w14:textId="587A2778">
        <w:trPr>
          <w:trHeight w:val="315"/>
        </w:trPr>
        <w:tc>
          <w:tcPr>
            <w:tcW w:w="2610" w:type="pct"/>
            <w:tcBorders>
              <w:top w:val="nil"/>
              <w:left w:val="single" w:color="auto" w:sz="8" w:space="0"/>
              <w:bottom w:val="single" w:color="auto" w:sz="8" w:space="0"/>
              <w:right w:val="single" w:color="auto" w:sz="8" w:space="0"/>
            </w:tcBorders>
            <w:shd w:val="clear" w:color="auto" w:fill="auto"/>
            <w:noWrap/>
            <w:vAlign w:val="center"/>
            <w:hideMark/>
          </w:tcPr>
          <w:p w:rsidRPr="00B7014C" w:rsidR="00107EEF" w:rsidP="00107EEF" w:rsidRDefault="00107EEF" w14:paraId="53B6E62D" w14:textId="77777777">
            <w:pPr>
              <w:rPr>
                <w:color w:val="000000"/>
                <w:sz w:val="22"/>
                <w:szCs w:val="22"/>
                <w:lang w:eastAsia="en-GB"/>
              </w:rPr>
            </w:pPr>
            <w:r w:rsidRPr="00B7014C">
              <w:rPr>
                <w:color w:val="000000"/>
                <w:sz w:val="22"/>
                <w:szCs w:val="22"/>
                <w:lang w:eastAsia="en-GB"/>
              </w:rPr>
              <w:t>High Schools in Slough</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2AA92CA2" w14:textId="77777777">
            <w:pPr>
              <w:jc w:val="center"/>
              <w:rPr>
                <w:color w:val="000000"/>
                <w:sz w:val="22"/>
                <w:szCs w:val="22"/>
                <w:lang w:eastAsia="en-GB"/>
              </w:rPr>
            </w:pPr>
            <w:r w:rsidRPr="00B7014C">
              <w:rPr>
                <w:color w:val="000000"/>
                <w:sz w:val="22"/>
                <w:szCs w:val="22"/>
                <w:lang w:eastAsia="en-GB"/>
              </w:rPr>
              <w:t>84</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372205FD" w14:textId="77777777">
            <w:pPr>
              <w:jc w:val="center"/>
              <w:rPr>
                <w:color w:val="000000"/>
                <w:sz w:val="22"/>
                <w:szCs w:val="22"/>
                <w:lang w:eastAsia="en-GB"/>
              </w:rPr>
            </w:pPr>
            <w:r w:rsidRPr="00B7014C">
              <w:rPr>
                <w:color w:val="000000"/>
                <w:sz w:val="22"/>
                <w:szCs w:val="22"/>
                <w:lang w:eastAsia="en-GB"/>
              </w:rPr>
              <w:t>84</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2F4C8B29" w14:textId="77777777">
            <w:pPr>
              <w:jc w:val="center"/>
              <w:rPr>
                <w:color w:val="000000"/>
                <w:sz w:val="22"/>
                <w:szCs w:val="22"/>
                <w:lang w:eastAsia="en-GB"/>
              </w:rPr>
            </w:pPr>
            <w:r w:rsidRPr="00B7014C">
              <w:rPr>
                <w:color w:val="000000"/>
                <w:sz w:val="22"/>
                <w:szCs w:val="22"/>
                <w:lang w:eastAsia="en-GB"/>
              </w:rPr>
              <w:t>80</w:t>
            </w:r>
          </w:p>
        </w:tc>
        <w:tc>
          <w:tcPr>
            <w:tcW w:w="598" w:type="pct"/>
            <w:tcBorders>
              <w:top w:val="nil"/>
              <w:left w:val="nil"/>
              <w:bottom w:val="single" w:color="auto" w:sz="8" w:space="0"/>
              <w:right w:val="single" w:color="auto" w:sz="8" w:space="0"/>
            </w:tcBorders>
            <w:vAlign w:val="center"/>
          </w:tcPr>
          <w:p w:rsidRPr="00B7014C" w:rsidR="00107EEF" w:rsidP="00107EEF" w:rsidRDefault="00107EEF" w14:paraId="614904ED" w14:textId="6B465363">
            <w:pPr>
              <w:jc w:val="center"/>
              <w:rPr>
                <w:color w:val="000000"/>
                <w:sz w:val="22"/>
                <w:szCs w:val="22"/>
                <w:lang w:eastAsia="en-GB"/>
              </w:rPr>
            </w:pPr>
            <w:r w:rsidRPr="00B7014C">
              <w:rPr>
                <w:color w:val="000000"/>
                <w:sz w:val="22"/>
                <w:szCs w:val="22"/>
                <w:lang w:eastAsia="en-GB"/>
              </w:rPr>
              <w:t>87</w:t>
            </w:r>
          </w:p>
        </w:tc>
      </w:tr>
      <w:tr w:rsidRPr="00B7014C" w:rsidR="00107EEF" w:rsidTr="00107EEF" w14:paraId="40897B3A" w14:textId="1A50C1F0">
        <w:trPr>
          <w:trHeight w:val="315"/>
        </w:trPr>
        <w:tc>
          <w:tcPr>
            <w:tcW w:w="2610" w:type="pct"/>
            <w:tcBorders>
              <w:top w:val="nil"/>
              <w:left w:val="single" w:color="auto" w:sz="8" w:space="0"/>
              <w:bottom w:val="single" w:color="auto" w:sz="8" w:space="0"/>
              <w:right w:val="single" w:color="auto" w:sz="8" w:space="0"/>
            </w:tcBorders>
            <w:shd w:val="clear" w:color="auto" w:fill="auto"/>
            <w:noWrap/>
            <w:vAlign w:val="center"/>
            <w:hideMark/>
          </w:tcPr>
          <w:p w:rsidRPr="00B7014C" w:rsidR="00107EEF" w:rsidP="00107EEF" w:rsidRDefault="00107EEF" w14:paraId="1AD2259F" w14:textId="77777777">
            <w:pPr>
              <w:rPr>
                <w:color w:val="000000"/>
                <w:sz w:val="22"/>
                <w:szCs w:val="22"/>
                <w:lang w:eastAsia="en-GB"/>
              </w:rPr>
            </w:pPr>
            <w:r w:rsidRPr="00B7014C">
              <w:rPr>
                <w:color w:val="000000"/>
                <w:sz w:val="22"/>
                <w:szCs w:val="22"/>
                <w:lang w:eastAsia="en-GB"/>
              </w:rPr>
              <w:t>High Schools in Hammersmith &amp; Fulham</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0AFA0966" w14:textId="77777777">
            <w:pPr>
              <w:jc w:val="center"/>
              <w:rPr>
                <w:color w:val="000000"/>
                <w:sz w:val="22"/>
                <w:szCs w:val="22"/>
                <w:lang w:eastAsia="en-GB"/>
              </w:rPr>
            </w:pPr>
            <w:r w:rsidRPr="00B7014C">
              <w:rPr>
                <w:color w:val="000000"/>
                <w:sz w:val="22"/>
                <w:szCs w:val="22"/>
                <w:lang w:eastAsia="en-GB"/>
              </w:rPr>
              <w:t>63</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35475038" w14:textId="77777777">
            <w:pPr>
              <w:jc w:val="center"/>
              <w:rPr>
                <w:color w:val="000000"/>
                <w:sz w:val="22"/>
                <w:szCs w:val="22"/>
                <w:lang w:eastAsia="en-GB"/>
              </w:rPr>
            </w:pPr>
            <w:r w:rsidRPr="00B7014C">
              <w:rPr>
                <w:color w:val="000000"/>
                <w:sz w:val="22"/>
                <w:szCs w:val="22"/>
                <w:lang w:eastAsia="en-GB"/>
              </w:rPr>
              <w:t>54</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0BDD36BC" w14:textId="77777777">
            <w:pPr>
              <w:jc w:val="center"/>
              <w:rPr>
                <w:color w:val="000000"/>
                <w:sz w:val="22"/>
                <w:szCs w:val="22"/>
                <w:lang w:eastAsia="en-GB"/>
              </w:rPr>
            </w:pPr>
            <w:r w:rsidRPr="00B7014C">
              <w:rPr>
                <w:color w:val="000000"/>
                <w:sz w:val="22"/>
                <w:szCs w:val="22"/>
                <w:lang w:eastAsia="en-GB"/>
              </w:rPr>
              <w:t>54</w:t>
            </w:r>
          </w:p>
        </w:tc>
        <w:tc>
          <w:tcPr>
            <w:tcW w:w="598" w:type="pct"/>
            <w:tcBorders>
              <w:top w:val="nil"/>
              <w:left w:val="nil"/>
              <w:bottom w:val="single" w:color="auto" w:sz="8" w:space="0"/>
              <w:right w:val="single" w:color="auto" w:sz="8" w:space="0"/>
            </w:tcBorders>
            <w:vAlign w:val="center"/>
          </w:tcPr>
          <w:p w:rsidRPr="00B7014C" w:rsidR="00107EEF" w:rsidP="00107EEF" w:rsidRDefault="00107EEF" w14:paraId="272CCC76" w14:textId="4FE013D4">
            <w:pPr>
              <w:jc w:val="center"/>
              <w:rPr>
                <w:color w:val="000000"/>
                <w:sz w:val="22"/>
                <w:szCs w:val="22"/>
                <w:lang w:eastAsia="en-GB"/>
              </w:rPr>
            </w:pPr>
            <w:r w:rsidRPr="00B7014C">
              <w:rPr>
                <w:color w:val="000000"/>
                <w:sz w:val="22"/>
                <w:szCs w:val="22"/>
                <w:lang w:eastAsia="en-GB"/>
              </w:rPr>
              <w:t>49</w:t>
            </w:r>
          </w:p>
        </w:tc>
      </w:tr>
      <w:tr w:rsidRPr="00B7014C" w:rsidR="00107EEF" w:rsidTr="00107EEF" w14:paraId="28485462" w14:textId="723BFEF8">
        <w:trPr>
          <w:trHeight w:val="315"/>
        </w:trPr>
        <w:tc>
          <w:tcPr>
            <w:tcW w:w="2610" w:type="pct"/>
            <w:tcBorders>
              <w:top w:val="nil"/>
              <w:left w:val="single" w:color="auto" w:sz="8" w:space="0"/>
              <w:bottom w:val="single" w:color="auto" w:sz="8" w:space="0"/>
              <w:right w:val="single" w:color="auto" w:sz="8" w:space="0"/>
            </w:tcBorders>
            <w:shd w:val="clear" w:color="auto" w:fill="auto"/>
            <w:noWrap/>
            <w:vAlign w:val="center"/>
            <w:hideMark/>
          </w:tcPr>
          <w:p w:rsidRPr="00B7014C" w:rsidR="00107EEF" w:rsidP="00107EEF" w:rsidRDefault="00107EEF" w14:paraId="75492AFF" w14:textId="77777777">
            <w:pPr>
              <w:rPr>
                <w:color w:val="000000"/>
                <w:sz w:val="22"/>
                <w:szCs w:val="22"/>
                <w:lang w:eastAsia="en-GB"/>
              </w:rPr>
            </w:pPr>
            <w:r w:rsidRPr="00B7014C">
              <w:rPr>
                <w:color w:val="000000"/>
                <w:sz w:val="22"/>
                <w:szCs w:val="22"/>
                <w:lang w:eastAsia="en-GB"/>
              </w:rPr>
              <w:t xml:space="preserve">Other </w:t>
            </w:r>
            <w:proofErr w:type="spellStart"/>
            <w:r w:rsidRPr="00B7014C">
              <w:rPr>
                <w:color w:val="000000"/>
                <w:sz w:val="22"/>
                <w:szCs w:val="22"/>
                <w:lang w:eastAsia="en-GB"/>
              </w:rPr>
              <w:t>LAs</w:t>
            </w:r>
            <w:proofErr w:type="spellEnd"/>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13036B0E" w14:textId="77777777">
            <w:pPr>
              <w:jc w:val="center"/>
              <w:rPr>
                <w:color w:val="000000"/>
                <w:sz w:val="22"/>
                <w:szCs w:val="22"/>
                <w:lang w:eastAsia="en-GB"/>
              </w:rPr>
            </w:pPr>
            <w:r w:rsidRPr="00B7014C">
              <w:rPr>
                <w:color w:val="000000"/>
                <w:sz w:val="22"/>
                <w:szCs w:val="22"/>
                <w:lang w:eastAsia="en-GB"/>
              </w:rPr>
              <w:t>77</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052EB9A7" w14:textId="77777777">
            <w:pPr>
              <w:jc w:val="center"/>
              <w:rPr>
                <w:color w:val="000000"/>
                <w:sz w:val="22"/>
                <w:szCs w:val="22"/>
                <w:lang w:eastAsia="en-GB"/>
              </w:rPr>
            </w:pPr>
            <w:r w:rsidRPr="00B7014C">
              <w:rPr>
                <w:color w:val="000000"/>
                <w:sz w:val="22"/>
                <w:szCs w:val="22"/>
                <w:lang w:eastAsia="en-GB"/>
              </w:rPr>
              <w:t>88</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6C94ECAB" w14:textId="77777777">
            <w:pPr>
              <w:jc w:val="center"/>
              <w:rPr>
                <w:color w:val="000000"/>
                <w:sz w:val="22"/>
                <w:szCs w:val="22"/>
                <w:lang w:eastAsia="en-GB"/>
              </w:rPr>
            </w:pPr>
            <w:r w:rsidRPr="00B7014C">
              <w:rPr>
                <w:color w:val="000000"/>
                <w:sz w:val="22"/>
                <w:szCs w:val="22"/>
                <w:lang w:eastAsia="en-GB"/>
              </w:rPr>
              <w:t>92</w:t>
            </w:r>
          </w:p>
        </w:tc>
        <w:tc>
          <w:tcPr>
            <w:tcW w:w="598" w:type="pct"/>
            <w:tcBorders>
              <w:top w:val="nil"/>
              <w:left w:val="nil"/>
              <w:bottom w:val="single" w:color="auto" w:sz="8" w:space="0"/>
              <w:right w:val="single" w:color="auto" w:sz="8" w:space="0"/>
            </w:tcBorders>
            <w:vAlign w:val="center"/>
          </w:tcPr>
          <w:p w:rsidRPr="00B7014C" w:rsidR="00107EEF" w:rsidP="00107EEF" w:rsidRDefault="00107EEF" w14:paraId="02B16DFB" w14:textId="4A836AFB">
            <w:pPr>
              <w:jc w:val="center"/>
              <w:rPr>
                <w:color w:val="000000"/>
                <w:sz w:val="22"/>
                <w:szCs w:val="22"/>
                <w:lang w:eastAsia="en-GB"/>
              </w:rPr>
            </w:pPr>
            <w:r w:rsidRPr="00B7014C">
              <w:rPr>
                <w:color w:val="000000"/>
                <w:sz w:val="22"/>
                <w:szCs w:val="22"/>
                <w:lang w:eastAsia="en-GB"/>
              </w:rPr>
              <w:t>10</w:t>
            </w:r>
            <w:r w:rsidRPr="00B7014C" w:rsidR="00771388">
              <w:rPr>
                <w:color w:val="000000"/>
                <w:sz w:val="22"/>
                <w:szCs w:val="22"/>
                <w:lang w:eastAsia="en-GB"/>
              </w:rPr>
              <w:t>5</w:t>
            </w:r>
          </w:p>
        </w:tc>
      </w:tr>
      <w:tr w:rsidRPr="00B7014C" w:rsidR="00107EEF" w:rsidTr="00107EEF" w14:paraId="2BD98522" w14:textId="687D9433">
        <w:trPr>
          <w:trHeight w:val="330"/>
        </w:trPr>
        <w:tc>
          <w:tcPr>
            <w:tcW w:w="2610" w:type="pct"/>
            <w:tcBorders>
              <w:top w:val="nil"/>
              <w:left w:val="single" w:color="auto" w:sz="8" w:space="0"/>
              <w:bottom w:val="single" w:color="auto" w:sz="8" w:space="0"/>
              <w:right w:val="single" w:color="auto" w:sz="8" w:space="0"/>
            </w:tcBorders>
            <w:shd w:val="clear" w:color="auto" w:fill="auto"/>
            <w:noWrap/>
            <w:vAlign w:val="center"/>
            <w:hideMark/>
          </w:tcPr>
          <w:p w:rsidRPr="00B7014C" w:rsidR="00107EEF" w:rsidP="00107EEF" w:rsidRDefault="00107EEF" w14:paraId="79D9FB9B" w14:textId="77777777">
            <w:pPr>
              <w:rPr>
                <w:b/>
                <w:bCs/>
                <w:color w:val="000000"/>
                <w:sz w:val="22"/>
                <w:szCs w:val="22"/>
                <w:lang w:eastAsia="en-GB"/>
              </w:rPr>
            </w:pPr>
            <w:r w:rsidRPr="00B7014C">
              <w:rPr>
                <w:b/>
                <w:bCs/>
                <w:color w:val="000000"/>
                <w:sz w:val="22"/>
                <w:szCs w:val="22"/>
                <w:lang w:eastAsia="en-GB"/>
              </w:rPr>
              <w:t>Total Harrow resident pupils exported</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3A965881" w14:textId="77777777">
            <w:pPr>
              <w:jc w:val="center"/>
              <w:rPr>
                <w:b/>
                <w:bCs/>
                <w:color w:val="000000"/>
                <w:sz w:val="22"/>
                <w:szCs w:val="22"/>
                <w:lang w:eastAsia="en-GB"/>
              </w:rPr>
            </w:pPr>
            <w:r w:rsidRPr="00B7014C">
              <w:rPr>
                <w:b/>
                <w:bCs/>
                <w:color w:val="000000"/>
                <w:sz w:val="22"/>
                <w:szCs w:val="22"/>
                <w:lang w:eastAsia="en-GB"/>
              </w:rPr>
              <w:t>3,581</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34CE159F" w14:textId="77777777">
            <w:pPr>
              <w:jc w:val="center"/>
              <w:rPr>
                <w:b/>
                <w:bCs/>
                <w:color w:val="000000"/>
                <w:sz w:val="22"/>
                <w:szCs w:val="22"/>
                <w:lang w:eastAsia="en-GB"/>
              </w:rPr>
            </w:pPr>
            <w:r w:rsidRPr="00B7014C">
              <w:rPr>
                <w:b/>
                <w:bCs/>
                <w:color w:val="000000"/>
                <w:sz w:val="22"/>
                <w:szCs w:val="22"/>
                <w:lang w:eastAsia="en-GB"/>
              </w:rPr>
              <w:t>3,707</w:t>
            </w:r>
          </w:p>
        </w:tc>
        <w:tc>
          <w:tcPr>
            <w:tcW w:w="597" w:type="pct"/>
            <w:tcBorders>
              <w:top w:val="nil"/>
              <w:left w:val="nil"/>
              <w:bottom w:val="single" w:color="auto" w:sz="8" w:space="0"/>
              <w:right w:val="single" w:color="auto" w:sz="8" w:space="0"/>
            </w:tcBorders>
            <w:shd w:val="clear" w:color="auto" w:fill="auto"/>
            <w:noWrap/>
            <w:vAlign w:val="center"/>
            <w:hideMark/>
          </w:tcPr>
          <w:p w:rsidRPr="00B7014C" w:rsidR="00107EEF" w:rsidP="00107EEF" w:rsidRDefault="00107EEF" w14:paraId="6120368C" w14:textId="77777777">
            <w:pPr>
              <w:jc w:val="center"/>
              <w:rPr>
                <w:b/>
                <w:bCs/>
                <w:color w:val="000000"/>
                <w:sz w:val="22"/>
                <w:szCs w:val="22"/>
                <w:lang w:eastAsia="en-GB"/>
              </w:rPr>
            </w:pPr>
            <w:r w:rsidRPr="00B7014C">
              <w:rPr>
                <w:b/>
                <w:bCs/>
                <w:color w:val="000000"/>
                <w:sz w:val="22"/>
                <w:szCs w:val="22"/>
                <w:lang w:eastAsia="en-GB"/>
              </w:rPr>
              <w:t>3,747</w:t>
            </w:r>
          </w:p>
        </w:tc>
        <w:tc>
          <w:tcPr>
            <w:tcW w:w="598" w:type="pct"/>
            <w:tcBorders>
              <w:top w:val="nil"/>
              <w:left w:val="nil"/>
              <w:bottom w:val="single" w:color="auto" w:sz="8" w:space="0"/>
              <w:right w:val="single" w:color="auto" w:sz="8" w:space="0"/>
            </w:tcBorders>
            <w:vAlign w:val="center"/>
          </w:tcPr>
          <w:p w:rsidRPr="00B7014C" w:rsidR="00107EEF" w:rsidP="00107EEF" w:rsidRDefault="00107EEF" w14:paraId="34AB52ED" w14:textId="56987E8F">
            <w:pPr>
              <w:jc w:val="center"/>
              <w:rPr>
                <w:b/>
                <w:bCs/>
                <w:color w:val="000000"/>
                <w:sz w:val="22"/>
                <w:szCs w:val="22"/>
                <w:lang w:eastAsia="en-GB"/>
              </w:rPr>
            </w:pPr>
            <w:r w:rsidRPr="00B7014C">
              <w:rPr>
                <w:b/>
                <w:bCs/>
                <w:color w:val="000000"/>
                <w:sz w:val="22"/>
                <w:szCs w:val="22"/>
                <w:lang w:eastAsia="en-GB"/>
              </w:rPr>
              <w:t>3,6</w:t>
            </w:r>
            <w:r w:rsidRPr="00B7014C" w:rsidR="00771388">
              <w:rPr>
                <w:b/>
                <w:bCs/>
                <w:color w:val="000000"/>
                <w:sz w:val="22"/>
                <w:szCs w:val="22"/>
                <w:lang w:eastAsia="en-GB"/>
              </w:rPr>
              <w:t>40</w:t>
            </w:r>
          </w:p>
        </w:tc>
      </w:tr>
    </w:tbl>
    <w:p w:rsidRPr="00B7014C" w:rsidR="00A16979" w:rsidP="00A16979" w:rsidRDefault="00A16979" w14:paraId="5C3ADAE9" w14:textId="77777777">
      <w:pPr>
        <w:rPr>
          <w:sz w:val="20"/>
          <w:szCs w:val="20"/>
        </w:rPr>
      </w:pPr>
      <w:r w:rsidRPr="00B7014C">
        <w:rPr>
          <w:sz w:val="20"/>
          <w:szCs w:val="20"/>
        </w:rPr>
        <w:t xml:space="preserve">Source: DfE </w:t>
      </w:r>
      <w:proofErr w:type="spellStart"/>
      <w:r w:rsidRPr="00B7014C">
        <w:rPr>
          <w:sz w:val="20"/>
          <w:szCs w:val="20"/>
        </w:rPr>
        <w:t>SFR</w:t>
      </w:r>
      <w:proofErr w:type="spellEnd"/>
      <w:r w:rsidRPr="00B7014C">
        <w:rPr>
          <w:sz w:val="20"/>
          <w:szCs w:val="20"/>
        </w:rPr>
        <w:t xml:space="preserve"> Cross Border Movement</w:t>
      </w:r>
    </w:p>
    <w:p w:rsidRPr="00B7014C" w:rsidR="00A16979" w:rsidP="00A16979" w:rsidRDefault="00A16979" w14:paraId="58ECF7D5" w14:textId="77777777">
      <w:pPr>
        <w:rPr>
          <w:b/>
        </w:rPr>
      </w:pPr>
    </w:p>
    <w:p w:rsidRPr="00B7014C" w:rsidR="00A16979" w:rsidP="00A16979" w:rsidRDefault="00A16979" w14:paraId="15EC8265" w14:textId="0700FCC3">
      <w:r w:rsidRPr="00B7014C">
        <w:t xml:space="preserve">Table </w:t>
      </w:r>
      <w:r w:rsidRPr="00B7014C" w:rsidR="00404743">
        <w:t>8</w:t>
      </w:r>
      <w:r w:rsidRPr="00B7014C">
        <w:t xml:space="preserve"> below shows the number of out of borough residents attending Harrow’s high schools over the last </w:t>
      </w:r>
      <w:r w:rsidRPr="00B7014C" w:rsidR="0089353F">
        <w:t>4</w:t>
      </w:r>
      <w:r w:rsidRPr="00B7014C">
        <w:t xml:space="preserve"> years.  This number has increased from </w:t>
      </w:r>
      <w:r w:rsidRPr="00B7014C" w:rsidR="00221FD1">
        <w:t>2,148</w:t>
      </w:r>
      <w:r w:rsidRPr="00B7014C">
        <w:t xml:space="preserve"> in January 201</w:t>
      </w:r>
      <w:r w:rsidRPr="00B7014C" w:rsidR="00221FD1">
        <w:t>7</w:t>
      </w:r>
      <w:r w:rsidRPr="00B7014C">
        <w:t xml:space="preserve"> to 2,</w:t>
      </w:r>
      <w:r w:rsidRPr="00B7014C" w:rsidR="0096270F">
        <w:t>468</w:t>
      </w:r>
      <w:r w:rsidRPr="00B7014C">
        <w:t xml:space="preserve"> in January 20</w:t>
      </w:r>
      <w:r w:rsidRPr="00B7014C" w:rsidR="0096270F">
        <w:t>20</w:t>
      </w:r>
      <w:r w:rsidRPr="00B7014C">
        <w:t xml:space="preserve">, </w:t>
      </w:r>
      <w:r w:rsidRPr="00B7014C" w:rsidR="002C3C41">
        <w:t xml:space="preserve">which represents </w:t>
      </w:r>
      <w:r w:rsidRPr="00B7014C">
        <w:t>a</w:t>
      </w:r>
      <w:r w:rsidRPr="00B7014C" w:rsidR="00712D26">
        <w:t xml:space="preserve"> 14.9%</w:t>
      </w:r>
      <w:r w:rsidRPr="00B7014C">
        <w:t xml:space="preserve"> </w:t>
      </w:r>
      <w:r w:rsidRPr="00B7014C" w:rsidR="00AB3136">
        <w:t>(3</w:t>
      </w:r>
      <w:r w:rsidRPr="00B7014C" w:rsidR="002F77C2">
        <w:t>2</w:t>
      </w:r>
      <w:r w:rsidRPr="00B7014C" w:rsidR="00AB3136">
        <w:t xml:space="preserve">0 pupils) </w:t>
      </w:r>
      <w:r w:rsidRPr="00B7014C">
        <w:t>increase from January 201</w:t>
      </w:r>
      <w:r w:rsidRPr="00B7014C" w:rsidR="006B6082">
        <w:t>8</w:t>
      </w:r>
      <w:r w:rsidRPr="00B7014C">
        <w:t xml:space="preserve"> to January 201</w:t>
      </w:r>
      <w:r w:rsidRPr="00B7014C" w:rsidR="006B6082">
        <w:t>9.</w:t>
      </w:r>
      <w:r w:rsidRPr="00B7014C">
        <w:t xml:space="preserve">  </w:t>
      </w:r>
    </w:p>
    <w:p w:rsidRPr="00B7014C" w:rsidR="00A16979" w:rsidP="00A16979" w:rsidRDefault="00A16979" w14:paraId="2D531244" w14:textId="77777777">
      <w:r w:rsidRPr="00B7014C">
        <w:t xml:space="preserve"> </w:t>
      </w:r>
    </w:p>
    <w:p w:rsidRPr="00B7014C" w:rsidR="00A16979" w:rsidP="00A16979" w:rsidRDefault="00FC14D1" w14:paraId="66F08FAB" w14:textId="53CEE56C">
      <w:r w:rsidRPr="00B7014C">
        <w:t>Table 8</w:t>
      </w:r>
      <w:r w:rsidRPr="00B7014C" w:rsidR="00A16979">
        <w:t>: Borough of residence of Harrow’s high school pupils</w:t>
      </w:r>
    </w:p>
    <w:tbl>
      <w:tblPr>
        <w:tblW w:w="3990" w:type="pct"/>
        <w:tblLook w:val="04A0" w:firstRow="1" w:lastRow="0" w:firstColumn="1" w:lastColumn="0" w:noHBand="0" w:noVBand="1"/>
      </w:tblPr>
      <w:tblGrid>
        <w:gridCol w:w="4198"/>
        <w:gridCol w:w="982"/>
        <w:gridCol w:w="982"/>
        <w:gridCol w:w="982"/>
        <w:gridCol w:w="983"/>
      </w:tblGrid>
      <w:tr w:rsidRPr="00B7014C" w:rsidR="00282D97" w:rsidTr="00282D97" w14:paraId="69395273" w14:textId="1FF72553">
        <w:trPr>
          <w:trHeight w:val="330"/>
        </w:trPr>
        <w:tc>
          <w:tcPr>
            <w:tcW w:w="2583" w:type="pct"/>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B7014C" w:rsidR="00282D97" w:rsidP="00D45773" w:rsidRDefault="00282D97" w14:paraId="14BFDAB2" w14:textId="77777777">
            <w:pPr>
              <w:rPr>
                <w:b/>
                <w:bCs/>
                <w:color w:val="000000"/>
                <w:sz w:val="22"/>
                <w:szCs w:val="22"/>
                <w:lang w:eastAsia="en-GB"/>
              </w:rPr>
            </w:pPr>
            <w:r w:rsidRPr="00B7014C">
              <w:rPr>
                <w:b/>
                <w:bCs/>
                <w:color w:val="000000"/>
                <w:sz w:val="22"/>
                <w:szCs w:val="22"/>
                <w:lang w:eastAsia="en-GB"/>
              </w:rPr>
              <w:t>LA Name Residence</w:t>
            </w:r>
          </w:p>
        </w:tc>
        <w:tc>
          <w:tcPr>
            <w:tcW w:w="2417" w:type="pct"/>
            <w:gridSpan w:val="4"/>
            <w:tcBorders>
              <w:top w:val="single" w:color="auto" w:sz="8" w:space="0"/>
              <w:left w:val="nil"/>
              <w:bottom w:val="single" w:color="auto" w:sz="8" w:space="0"/>
              <w:right w:val="single" w:color="000000" w:sz="8" w:space="0"/>
            </w:tcBorders>
            <w:shd w:val="clear" w:color="auto" w:fill="auto"/>
            <w:vAlign w:val="center"/>
            <w:hideMark/>
          </w:tcPr>
          <w:p w:rsidRPr="00B7014C" w:rsidR="00282D97" w:rsidP="00282D97" w:rsidRDefault="00282D97" w14:paraId="675FAB7B" w14:textId="4C8B77EB">
            <w:pPr>
              <w:jc w:val="center"/>
              <w:rPr>
                <w:b/>
                <w:bCs/>
                <w:color w:val="000000"/>
                <w:sz w:val="22"/>
                <w:szCs w:val="22"/>
                <w:lang w:eastAsia="en-GB"/>
              </w:rPr>
            </w:pPr>
            <w:r w:rsidRPr="00B7014C">
              <w:rPr>
                <w:b/>
                <w:bCs/>
                <w:color w:val="000000"/>
                <w:sz w:val="22"/>
                <w:szCs w:val="22"/>
                <w:lang w:eastAsia="en-GB"/>
              </w:rPr>
              <w:t>High Schools in Harrow</w:t>
            </w:r>
          </w:p>
        </w:tc>
      </w:tr>
      <w:tr w:rsidRPr="00B7014C" w:rsidR="00282D97" w:rsidTr="00282D97" w14:paraId="7A84450E" w14:textId="01C77898">
        <w:trPr>
          <w:trHeight w:val="330"/>
        </w:trPr>
        <w:tc>
          <w:tcPr>
            <w:tcW w:w="2583" w:type="pct"/>
            <w:vMerge/>
            <w:tcBorders>
              <w:top w:val="single" w:color="auto" w:sz="8" w:space="0"/>
              <w:left w:val="single" w:color="auto" w:sz="8" w:space="0"/>
              <w:bottom w:val="single" w:color="000000" w:sz="8" w:space="0"/>
              <w:right w:val="single" w:color="auto" w:sz="8" w:space="0"/>
            </w:tcBorders>
            <w:vAlign w:val="center"/>
            <w:hideMark/>
          </w:tcPr>
          <w:p w:rsidRPr="00B7014C" w:rsidR="00282D97" w:rsidP="00D45773" w:rsidRDefault="00282D97" w14:paraId="571CF3FF" w14:textId="77777777">
            <w:pPr>
              <w:rPr>
                <w:b/>
                <w:bCs/>
                <w:color w:val="000000"/>
                <w:sz w:val="22"/>
                <w:szCs w:val="22"/>
                <w:lang w:eastAsia="en-GB"/>
              </w:rPr>
            </w:pP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0CC95EE6" w14:textId="77777777">
            <w:pPr>
              <w:jc w:val="center"/>
              <w:rPr>
                <w:b/>
                <w:bCs/>
                <w:color w:val="000000"/>
                <w:sz w:val="22"/>
                <w:szCs w:val="22"/>
                <w:lang w:eastAsia="en-GB"/>
              </w:rPr>
            </w:pPr>
            <w:r w:rsidRPr="00B7014C">
              <w:rPr>
                <w:b/>
                <w:bCs/>
                <w:color w:val="000000"/>
                <w:sz w:val="22"/>
                <w:szCs w:val="22"/>
                <w:lang w:eastAsia="en-GB"/>
              </w:rPr>
              <w:t>Jan-17</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244A4831" w14:textId="77777777">
            <w:pPr>
              <w:jc w:val="center"/>
              <w:rPr>
                <w:b/>
                <w:bCs/>
                <w:color w:val="000000"/>
                <w:sz w:val="22"/>
                <w:szCs w:val="22"/>
                <w:lang w:eastAsia="en-GB"/>
              </w:rPr>
            </w:pPr>
            <w:r w:rsidRPr="00B7014C">
              <w:rPr>
                <w:b/>
                <w:bCs/>
                <w:color w:val="000000"/>
                <w:sz w:val="22"/>
                <w:szCs w:val="22"/>
                <w:lang w:eastAsia="en-GB"/>
              </w:rPr>
              <w:t>Jan-18</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50C040D6" w14:textId="77777777">
            <w:pPr>
              <w:jc w:val="center"/>
              <w:rPr>
                <w:b/>
                <w:bCs/>
                <w:color w:val="000000"/>
                <w:sz w:val="22"/>
                <w:szCs w:val="22"/>
                <w:lang w:eastAsia="en-GB"/>
              </w:rPr>
            </w:pPr>
            <w:r w:rsidRPr="00B7014C">
              <w:rPr>
                <w:b/>
                <w:bCs/>
                <w:color w:val="000000"/>
                <w:sz w:val="22"/>
                <w:szCs w:val="22"/>
                <w:lang w:eastAsia="en-GB"/>
              </w:rPr>
              <w:t>Jan-19</w:t>
            </w:r>
          </w:p>
        </w:tc>
        <w:tc>
          <w:tcPr>
            <w:tcW w:w="604" w:type="pct"/>
            <w:tcBorders>
              <w:top w:val="nil"/>
              <w:left w:val="nil"/>
              <w:bottom w:val="single" w:color="auto" w:sz="8" w:space="0"/>
              <w:right w:val="single" w:color="auto" w:sz="8" w:space="0"/>
            </w:tcBorders>
            <w:vAlign w:val="center"/>
          </w:tcPr>
          <w:p w:rsidRPr="00B7014C" w:rsidR="00282D97" w:rsidP="00282D97" w:rsidRDefault="00E706BA" w14:paraId="5C6A04C2" w14:textId="692CD579">
            <w:pPr>
              <w:jc w:val="center"/>
              <w:rPr>
                <w:b/>
                <w:bCs/>
                <w:color w:val="000000"/>
                <w:sz w:val="22"/>
                <w:szCs w:val="22"/>
                <w:lang w:eastAsia="en-GB"/>
              </w:rPr>
            </w:pPr>
            <w:r w:rsidRPr="00B7014C">
              <w:rPr>
                <w:b/>
                <w:bCs/>
                <w:color w:val="000000"/>
                <w:sz w:val="22"/>
                <w:szCs w:val="22"/>
                <w:lang w:eastAsia="en-GB"/>
              </w:rPr>
              <w:t>Jan-20</w:t>
            </w:r>
          </w:p>
        </w:tc>
      </w:tr>
      <w:tr w:rsidRPr="00B7014C" w:rsidR="00282D97" w:rsidTr="00282D97" w14:paraId="75D09622" w14:textId="6190DBA8">
        <w:trPr>
          <w:trHeight w:val="315"/>
        </w:trPr>
        <w:tc>
          <w:tcPr>
            <w:tcW w:w="2583" w:type="pct"/>
            <w:tcBorders>
              <w:top w:val="nil"/>
              <w:left w:val="single" w:color="auto" w:sz="8" w:space="0"/>
              <w:bottom w:val="single" w:color="auto" w:sz="8" w:space="0"/>
              <w:right w:val="single" w:color="auto" w:sz="8" w:space="0"/>
            </w:tcBorders>
            <w:shd w:val="clear" w:color="auto" w:fill="auto"/>
            <w:noWrap/>
            <w:vAlign w:val="center"/>
            <w:hideMark/>
          </w:tcPr>
          <w:p w:rsidRPr="00B7014C" w:rsidR="00282D97" w:rsidP="00D45773" w:rsidRDefault="00282D97" w14:paraId="3F5A18D5" w14:textId="77777777">
            <w:pPr>
              <w:rPr>
                <w:color w:val="000000"/>
                <w:sz w:val="22"/>
                <w:szCs w:val="22"/>
                <w:lang w:eastAsia="en-GB"/>
              </w:rPr>
            </w:pPr>
            <w:r w:rsidRPr="00B7014C">
              <w:rPr>
                <w:color w:val="000000"/>
                <w:sz w:val="22"/>
                <w:szCs w:val="22"/>
                <w:lang w:eastAsia="en-GB"/>
              </w:rPr>
              <w:t>Residents of Brent</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7E7768AF" w14:textId="77777777">
            <w:pPr>
              <w:jc w:val="center"/>
              <w:rPr>
                <w:color w:val="000000"/>
                <w:sz w:val="22"/>
                <w:szCs w:val="22"/>
                <w:lang w:eastAsia="en-GB"/>
              </w:rPr>
            </w:pPr>
            <w:r w:rsidRPr="00B7014C">
              <w:rPr>
                <w:color w:val="000000"/>
                <w:sz w:val="22"/>
                <w:szCs w:val="22"/>
                <w:lang w:eastAsia="en-GB"/>
              </w:rPr>
              <w:t>976</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45F80273" w14:textId="77777777">
            <w:pPr>
              <w:jc w:val="center"/>
              <w:rPr>
                <w:color w:val="000000"/>
                <w:sz w:val="22"/>
                <w:szCs w:val="22"/>
                <w:lang w:eastAsia="en-GB"/>
              </w:rPr>
            </w:pPr>
            <w:r w:rsidRPr="00B7014C">
              <w:rPr>
                <w:color w:val="000000"/>
                <w:sz w:val="22"/>
                <w:szCs w:val="22"/>
                <w:lang w:eastAsia="en-GB"/>
              </w:rPr>
              <w:t>972</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5682DFCD" w14:textId="77777777">
            <w:pPr>
              <w:jc w:val="center"/>
              <w:rPr>
                <w:color w:val="000000"/>
                <w:sz w:val="22"/>
                <w:szCs w:val="22"/>
                <w:lang w:eastAsia="en-GB"/>
              </w:rPr>
            </w:pPr>
            <w:r w:rsidRPr="00B7014C">
              <w:rPr>
                <w:color w:val="000000"/>
                <w:sz w:val="22"/>
                <w:szCs w:val="22"/>
                <w:lang w:eastAsia="en-GB"/>
              </w:rPr>
              <w:t>935</w:t>
            </w:r>
          </w:p>
        </w:tc>
        <w:tc>
          <w:tcPr>
            <w:tcW w:w="604" w:type="pct"/>
            <w:tcBorders>
              <w:top w:val="nil"/>
              <w:left w:val="nil"/>
              <w:bottom w:val="single" w:color="auto" w:sz="8" w:space="0"/>
              <w:right w:val="single" w:color="auto" w:sz="8" w:space="0"/>
            </w:tcBorders>
            <w:vAlign w:val="center"/>
          </w:tcPr>
          <w:p w:rsidRPr="00B7014C" w:rsidR="00282D97" w:rsidP="00282D97" w:rsidRDefault="0039073A" w14:paraId="0D47B1D3" w14:textId="63C5ACEC">
            <w:pPr>
              <w:jc w:val="center"/>
              <w:rPr>
                <w:color w:val="000000"/>
                <w:sz w:val="22"/>
                <w:szCs w:val="22"/>
                <w:lang w:eastAsia="en-GB"/>
              </w:rPr>
            </w:pPr>
            <w:r w:rsidRPr="00B7014C">
              <w:rPr>
                <w:color w:val="000000"/>
                <w:sz w:val="22"/>
                <w:szCs w:val="22"/>
                <w:lang w:eastAsia="en-GB"/>
              </w:rPr>
              <w:t>911</w:t>
            </w:r>
          </w:p>
        </w:tc>
      </w:tr>
      <w:tr w:rsidRPr="00B7014C" w:rsidR="00282D97" w:rsidTr="00282D97" w14:paraId="092E203F" w14:textId="0D183906">
        <w:trPr>
          <w:trHeight w:val="315"/>
        </w:trPr>
        <w:tc>
          <w:tcPr>
            <w:tcW w:w="2583" w:type="pct"/>
            <w:tcBorders>
              <w:top w:val="nil"/>
              <w:left w:val="single" w:color="auto" w:sz="8" w:space="0"/>
              <w:bottom w:val="single" w:color="auto" w:sz="8" w:space="0"/>
              <w:right w:val="single" w:color="auto" w:sz="8" w:space="0"/>
            </w:tcBorders>
            <w:shd w:val="clear" w:color="auto" w:fill="auto"/>
            <w:noWrap/>
            <w:vAlign w:val="center"/>
            <w:hideMark/>
          </w:tcPr>
          <w:p w:rsidRPr="00B7014C" w:rsidR="00282D97" w:rsidP="00D45773" w:rsidRDefault="00282D97" w14:paraId="5E1C8E4F" w14:textId="77777777">
            <w:pPr>
              <w:rPr>
                <w:color w:val="000000"/>
                <w:sz w:val="22"/>
                <w:szCs w:val="22"/>
                <w:lang w:eastAsia="en-GB"/>
              </w:rPr>
            </w:pPr>
            <w:r w:rsidRPr="00B7014C">
              <w:rPr>
                <w:color w:val="000000"/>
                <w:sz w:val="22"/>
                <w:szCs w:val="22"/>
                <w:lang w:eastAsia="en-GB"/>
              </w:rPr>
              <w:t>Residents of Ealing</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088C6590" w14:textId="77777777">
            <w:pPr>
              <w:jc w:val="center"/>
              <w:rPr>
                <w:color w:val="000000"/>
                <w:sz w:val="22"/>
                <w:szCs w:val="22"/>
                <w:lang w:eastAsia="en-GB"/>
              </w:rPr>
            </w:pPr>
            <w:r w:rsidRPr="00B7014C">
              <w:rPr>
                <w:color w:val="000000"/>
                <w:sz w:val="22"/>
                <w:szCs w:val="22"/>
                <w:lang w:eastAsia="en-GB"/>
              </w:rPr>
              <w:t>384</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0D20F844" w14:textId="77777777">
            <w:pPr>
              <w:jc w:val="center"/>
              <w:rPr>
                <w:color w:val="000000"/>
                <w:sz w:val="22"/>
                <w:szCs w:val="22"/>
                <w:lang w:eastAsia="en-GB"/>
              </w:rPr>
            </w:pPr>
            <w:r w:rsidRPr="00B7014C">
              <w:rPr>
                <w:color w:val="000000"/>
                <w:sz w:val="22"/>
                <w:szCs w:val="22"/>
                <w:lang w:eastAsia="en-GB"/>
              </w:rPr>
              <w:t>419</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44E10FF6" w14:textId="77777777">
            <w:pPr>
              <w:jc w:val="center"/>
              <w:rPr>
                <w:color w:val="000000"/>
                <w:sz w:val="22"/>
                <w:szCs w:val="22"/>
                <w:lang w:eastAsia="en-GB"/>
              </w:rPr>
            </w:pPr>
            <w:r w:rsidRPr="00B7014C">
              <w:rPr>
                <w:color w:val="000000"/>
                <w:sz w:val="22"/>
                <w:szCs w:val="22"/>
                <w:lang w:eastAsia="en-GB"/>
              </w:rPr>
              <w:t>492</w:t>
            </w:r>
          </w:p>
        </w:tc>
        <w:tc>
          <w:tcPr>
            <w:tcW w:w="604" w:type="pct"/>
            <w:tcBorders>
              <w:top w:val="nil"/>
              <w:left w:val="nil"/>
              <w:bottom w:val="single" w:color="auto" w:sz="8" w:space="0"/>
              <w:right w:val="single" w:color="auto" w:sz="8" w:space="0"/>
            </w:tcBorders>
            <w:vAlign w:val="center"/>
          </w:tcPr>
          <w:p w:rsidRPr="00B7014C" w:rsidR="00282D97" w:rsidP="00282D97" w:rsidRDefault="00B93B18" w14:paraId="75505DA3" w14:textId="7426F03E">
            <w:pPr>
              <w:jc w:val="center"/>
              <w:rPr>
                <w:color w:val="000000"/>
                <w:sz w:val="22"/>
                <w:szCs w:val="22"/>
                <w:lang w:eastAsia="en-GB"/>
              </w:rPr>
            </w:pPr>
            <w:r w:rsidRPr="00B7014C">
              <w:rPr>
                <w:color w:val="000000"/>
                <w:sz w:val="22"/>
                <w:szCs w:val="22"/>
                <w:lang w:eastAsia="en-GB"/>
              </w:rPr>
              <w:t>542</w:t>
            </w:r>
          </w:p>
        </w:tc>
      </w:tr>
      <w:tr w:rsidRPr="00B7014C" w:rsidR="00282D97" w:rsidTr="00282D97" w14:paraId="4BFD3184" w14:textId="264E6D2E">
        <w:trPr>
          <w:trHeight w:val="315"/>
        </w:trPr>
        <w:tc>
          <w:tcPr>
            <w:tcW w:w="2583" w:type="pct"/>
            <w:tcBorders>
              <w:top w:val="nil"/>
              <w:left w:val="single" w:color="auto" w:sz="8" w:space="0"/>
              <w:bottom w:val="single" w:color="auto" w:sz="8" w:space="0"/>
              <w:right w:val="single" w:color="auto" w:sz="8" w:space="0"/>
            </w:tcBorders>
            <w:shd w:val="clear" w:color="auto" w:fill="auto"/>
            <w:noWrap/>
            <w:vAlign w:val="center"/>
            <w:hideMark/>
          </w:tcPr>
          <w:p w:rsidRPr="00B7014C" w:rsidR="00282D97" w:rsidP="00D45773" w:rsidRDefault="00282D97" w14:paraId="4997B620" w14:textId="77777777">
            <w:pPr>
              <w:rPr>
                <w:color w:val="000000"/>
                <w:sz w:val="22"/>
                <w:szCs w:val="22"/>
                <w:lang w:eastAsia="en-GB"/>
              </w:rPr>
            </w:pPr>
            <w:r w:rsidRPr="00B7014C">
              <w:rPr>
                <w:color w:val="000000"/>
                <w:sz w:val="22"/>
                <w:szCs w:val="22"/>
                <w:lang w:eastAsia="en-GB"/>
              </w:rPr>
              <w:t>Residents of Barnet</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5C32CE07" w14:textId="77777777">
            <w:pPr>
              <w:jc w:val="center"/>
              <w:rPr>
                <w:color w:val="000000"/>
                <w:sz w:val="22"/>
                <w:szCs w:val="22"/>
                <w:lang w:eastAsia="en-GB"/>
              </w:rPr>
            </w:pPr>
            <w:r w:rsidRPr="00B7014C">
              <w:rPr>
                <w:color w:val="000000"/>
                <w:sz w:val="22"/>
                <w:szCs w:val="22"/>
                <w:lang w:eastAsia="en-GB"/>
              </w:rPr>
              <w:t>377</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2416CBAB" w14:textId="77777777">
            <w:pPr>
              <w:jc w:val="center"/>
              <w:rPr>
                <w:color w:val="000000"/>
                <w:sz w:val="22"/>
                <w:szCs w:val="22"/>
                <w:lang w:eastAsia="en-GB"/>
              </w:rPr>
            </w:pPr>
            <w:r w:rsidRPr="00B7014C">
              <w:rPr>
                <w:color w:val="000000"/>
                <w:sz w:val="22"/>
                <w:szCs w:val="22"/>
                <w:lang w:eastAsia="en-GB"/>
              </w:rPr>
              <w:t>393</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199032E5" w14:textId="77777777">
            <w:pPr>
              <w:jc w:val="center"/>
              <w:rPr>
                <w:color w:val="000000"/>
                <w:sz w:val="22"/>
                <w:szCs w:val="22"/>
                <w:lang w:eastAsia="en-GB"/>
              </w:rPr>
            </w:pPr>
            <w:r w:rsidRPr="00B7014C">
              <w:rPr>
                <w:color w:val="000000"/>
                <w:sz w:val="22"/>
                <w:szCs w:val="22"/>
                <w:lang w:eastAsia="en-GB"/>
              </w:rPr>
              <w:t>427</w:t>
            </w:r>
          </w:p>
        </w:tc>
        <w:tc>
          <w:tcPr>
            <w:tcW w:w="604" w:type="pct"/>
            <w:tcBorders>
              <w:top w:val="nil"/>
              <w:left w:val="nil"/>
              <w:bottom w:val="single" w:color="auto" w:sz="8" w:space="0"/>
              <w:right w:val="single" w:color="auto" w:sz="8" w:space="0"/>
            </w:tcBorders>
            <w:vAlign w:val="center"/>
          </w:tcPr>
          <w:p w:rsidRPr="00B7014C" w:rsidR="00282D97" w:rsidP="00282D97" w:rsidRDefault="00B93B18" w14:paraId="29BF3370" w14:textId="4DCABC2A">
            <w:pPr>
              <w:jc w:val="center"/>
              <w:rPr>
                <w:color w:val="000000"/>
                <w:sz w:val="22"/>
                <w:szCs w:val="22"/>
                <w:lang w:eastAsia="en-GB"/>
              </w:rPr>
            </w:pPr>
            <w:r w:rsidRPr="00B7014C">
              <w:rPr>
                <w:color w:val="000000"/>
                <w:sz w:val="22"/>
                <w:szCs w:val="22"/>
                <w:lang w:eastAsia="en-GB"/>
              </w:rPr>
              <w:t>413</w:t>
            </w:r>
          </w:p>
        </w:tc>
      </w:tr>
      <w:tr w:rsidRPr="00B7014C" w:rsidR="00282D97" w:rsidTr="00282D97" w14:paraId="076DABC3" w14:textId="32D8179F">
        <w:trPr>
          <w:trHeight w:val="315"/>
        </w:trPr>
        <w:tc>
          <w:tcPr>
            <w:tcW w:w="2583" w:type="pct"/>
            <w:tcBorders>
              <w:top w:val="nil"/>
              <w:left w:val="single" w:color="auto" w:sz="8" w:space="0"/>
              <w:bottom w:val="single" w:color="auto" w:sz="8" w:space="0"/>
              <w:right w:val="single" w:color="auto" w:sz="8" w:space="0"/>
            </w:tcBorders>
            <w:shd w:val="clear" w:color="auto" w:fill="auto"/>
            <w:noWrap/>
            <w:vAlign w:val="center"/>
            <w:hideMark/>
          </w:tcPr>
          <w:p w:rsidRPr="00B7014C" w:rsidR="00282D97" w:rsidP="00D45773" w:rsidRDefault="00282D97" w14:paraId="4B6162E1" w14:textId="77777777">
            <w:pPr>
              <w:rPr>
                <w:color w:val="000000"/>
                <w:sz w:val="22"/>
                <w:szCs w:val="22"/>
                <w:lang w:eastAsia="en-GB"/>
              </w:rPr>
            </w:pPr>
            <w:r w:rsidRPr="00B7014C">
              <w:rPr>
                <w:color w:val="000000"/>
                <w:sz w:val="22"/>
                <w:szCs w:val="22"/>
                <w:lang w:eastAsia="en-GB"/>
              </w:rPr>
              <w:t>Residents of Hillingdon</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721B27FA" w14:textId="77777777">
            <w:pPr>
              <w:jc w:val="center"/>
              <w:rPr>
                <w:color w:val="000000"/>
                <w:sz w:val="22"/>
                <w:szCs w:val="22"/>
                <w:lang w:eastAsia="en-GB"/>
              </w:rPr>
            </w:pPr>
            <w:r w:rsidRPr="00B7014C">
              <w:rPr>
                <w:color w:val="000000"/>
                <w:sz w:val="22"/>
                <w:szCs w:val="22"/>
                <w:lang w:eastAsia="en-GB"/>
              </w:rPr>
              <w:t>172</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16D9A4A6" w14:textId="77777777">
            <w:pPr>
              <w:jc w:val="center"/>
              <w:rPr>
                <w:color w:val="000000"/>
                <w:sz w:val="22"/>
                <w:szCs w:val="22"/>
                <w:lang w:eastAsia="en-GB"/>
              </w:rPr>
            </w:pPr>
            <w:r w:rsidRPr="00B7014C">
              <w:rPr>
                <w:color w:val="000000"/>
                <w:sz w:val="22"/>
                <w:szCs w:val="22"/>
                <w:lang w:eastAsia="en-GB"/>
              </w:rPr>
              <w:t>197</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368E2D53" w14:textId="77777777">
            <w:pPr>
              <w:jc w:val="center"/>
              <w:rPr>
                <w:color w:val="000000"/>
                <w:sz w:val="22"/>
                <w:szCs w:val="22"/>
                <w:lang w:eastAsia="en-GB"/>
              </w:rPr>
            </w:pPr>
            <w:r w:rsidRPr="00B7014C">
              <w:rPr>
                <w:color w:val="000000"/>
                <w:sz w:val="22"/>
                <w:szCs w:val="22"/>
                <w:lang w:eastAsia="en-GB"/>
              </w:rPr>
              <w:t>254</w:t>
            </w:r>
          </w:p>
        </w:tc>
        <w:tc>
          <w:tcPr>
            <w:tcW w:w="604" w:type="pct"/>
            <w:tcBorders>
              <w:top w:val="nil"/>
              <w:left w:val="nil"/>
              <w:bottom w:val="single" w:color="auto" w:sz="8" w:space="0"/>
              <w:right w:val="single" w:color="auto" w:sz="8" w:space="0"/>
            </w:tcBorders>
            <w:vAlign w:val="center"/>
          </w:tcPr>
          <w:p w:rsidRPr="00B7014C" w:rsidR="00282D97" w:rsidP="00282D97" w:rsidRDefault="00AB0F40" w14:paraId="270F03F5" w14:textId="357A2384">
            <w:pPr>
              <w:jc w:val="center"/>
              <w:rPr>
                <w:color w:val="000000"/>
                <w:sz w:val="22"/>
                <w:szCs w:val="22"/>
                <w:lang w:eastAsia="en-GB"/>
              </w:rPr>
            </w:pPr>
            <w:r w:rsidRPr="00B7014C">
              <w:rPr>
                <w:color w:val="000000"/>
                <w:sz w:val="22"/>
                <w:szCs w:val="22"/>
                <w:lang w:eastAsia="en-GB"/>
              </w:rPr>
              <w:t>306</w:t>
            </w:r>
          </w:p>
        </w:tc>
      </w:tr>
      <w:tr w:rsidRPr="00B7014C" w:rsidR="00282D97" w:rsidTr="00282D97" w14:paraId="1EEEF635" w14:textId="5AA34A09">
        <w:trPr>
          <w:trHeight w:val="315"/>
        </w:trPr>
        <w:tc>
          <w:tcPr>
            <w:tcW w:w="2583" w:type="pct"/>
            <w:tcBorders>
              <w:top w:val="nil"/>
              <w:left w:val="single" w:color="auto" w:sz="8" w:space="0"/>
              <w:bottom w:val="single" w:color="auto" w:sz="8" w:space="0"/>
              <w:right w:val="single" w:color="auto" w:sz="8" w:space="0"/>
            </w:tcBorders>
            <w:shd w:val="clear" w:color="auto" w:fill="auto"/>
            <w:noWrap/>
            <w:vAlign w:val="center"/>
            <w:hideMark/>
          </w:tcPr>
          <w:p w:rsidRPr="00B7014C" w:rsidR="00282D97" w:rsidP="00D45773" w:rsidRDefault="00282D97" w14:paraId="15630CD1" w14:textId="77777777">
            <w:pPr>
              <w:rPr>
                <w:color w:val="000000"/>
                <w:sz w:val="22"/>
                <w:szCs w:val="22"/>
                <w:lang w:eastAsia="en-GB"/>
              </w:rPr>
            </w:pPr>
            <w:r w:rsidRPr="00B7014C">
              <w:rPr>
                <w:color w:val="000000"/>
                <w:sz w:val="22"/>
                <w:szCs w:val="22"/>
                <w:lang w:eastAsia="en-GB"/>
              </w:rPr>
              <w:t>Residents of Hertfordshire</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13EF7184" w14:textId="77777777">
            <w:pPr>
              <w:jc w:val="center"/>
              <w:rPr>
                <w:color w:val="000000"/>
                <w:sz w:val="22"/>
                <w:szCs w:val="22"/>
                <w:lang w:eastAsia="en-GB"/>
              </w:rPr>
            </w:pPr>
            <w:r w:rsidRPr="00B7014C">
              <w:rPr>
                <w:color w:val="000000"/>
                <w:sz w:val="22"/>
                <w:szCs w:val="22"/>
                <w:lang w:eastAsia="en-GB"/>
              </w:rPr>
              <w:t>188</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63E28248" w14:textId="77777777">
            <w:pPr>
              <w:jc w:val="center"/>
              <w:rPr>
                <w:color w:val="000000"/>
                <w:sz w:val="22"/>
                <w:szCs w:val="22"/>
                <w:lang w:eastAsia="en-GB"/>
              </w:rPr>
            </w:pPr>
            <w:r w:rsidRPr="00B7014C">
              <w:rPr>
                <w:color w:val="000000"/>
                <w:sz w:val="22"/>
                <w:szCs w:val="22"/>
                <w:lang w:eastAsia="en-GB"/>
              </w:rPr>
              <w:t>225</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03AD003E" w14:textId="77777777">
            <w:pPr>
              <w:jc w:val="center"/>
              <w:rPr>
                <w:color w:val="000000"/>
                <w:sz w:val="22"/>
                <w:szCs w:val="22"/>
                <w:lang w:eastAsia="en-GB"/>
              </w:rPr>
            </w:pPr>
            <w:r w:rsidRPr="00B7014C">
              <w:rPr>
                <w:color w:val="000000"/>
                <w:sz w:val="22"/>
                <w:szCs w:val="22"/>
                <w:lang w:eastAsia="en-GB"/>
              </w:rPr>
              <w:t>194</w:t>
            </w:r>
          </w:p>
        </w:tc>
        <w:tc>
          <w:tcPr>
            <w:tcW w:w="604" w:type="pct"/>
            <w:tcBorders>
              <w:top w:val="nil"/>
              <w:left w:val="nil"/>
              <w:bottom w:val="single" w:color="auto" w:sz="8" w:space="0"/>
              <w:right w:val="single" w:color="auto" w:sz="8" w:space="0"/>
            </w:tcBorders>
            <w:vAlign w:val="center"/>
          </w:tcPr>
          <w:p w:rsidRPr="00B7014C" w:rsidR="00282D97" w:rsidP="00282D97" w:rsidRDefault="00AB0F40" w14:paraId="455C218C" w14:textId="7847CF81">
            <w:pPr>
              <w:jc w:val="center"/>
              <w:rPr>
                <w:color w:val="000000"/>
                <w:sz w:val="22"/>
                <w:szCs w:val="22"/>
                <w:lang w:eastAsia="en-GB"/>
              </w:rPr>
            </w:pPr>
            <w:r w:rsidRPr="00B7014C">
              <w:rPr>
                <w:color w:val="000000"/>
                <w:sz w:val="22"/>
                <w:szCs w:val="22"/>
                <w:lang w:eastAsia="en-GB"/>
              </w:rPr>
              <w:t>231</w:t>
            </w:r>
          </w:p>
        </w:tc>
      </w:tr>
      <w:tr w:rsidRPr="00B7014C" w:rsidR="00282D97" w:rsidTr="00282D97" w14:paraId="3D99ECBC" w14:textId="7B0786E1">
        <w:trPr>
          <w:trHeight w:val="315"/>
        </w:trPr>
        <w:tc>
          <w:tcPr>
            <w:tcW w:w="2583" w:type="pct"/>
            <w:tcBorders>
              <w:top w:val="nil"/>
              <w:left w:val="single" w:color="auto" w:sz="8" w:space="0"/>
              <w:bottom w:val="single" w:color="auto" w:sz="8" w:space="0"/>
              <w:right w:val="single" w:color="auto" w:sz="8" w:space="0"/>
            </w:tcBorders>
            <w:shd w:val="clear" w:color="auto" w:fill="auto"/>
            <w:noWrap/>
            <w:vAlign w:val="center"/>
            <w:hideMark/>
          </w:tcPr>
          <w:p w:rsidRPr="00B7014C" w:rsidR="00282D97" w:rsidP="00D45773" w:rsidRDefault="00282D97" w14:paraId="5068251F" w14:textId="77777777">
            <w:pPr>
              <w:rPr>
                <w:color w:val="000000"/>
                <w:sz w:val="22"/>
                <w:szCs w:val="22"/>
                <w:lang w:eastAsia="en-GB"/>
              </w:rPr>
            </w:pPr>
            <w:r w:rsidRPr="00B7014C">
              <w:rPr>
                <w:color w:val="000000"/>
                <w:sz w:val="22"/>
                <w:szCs w:val="22"/>
                <w:lang w:eastAsia="en-GB"/>
              </w:rPr>
              <w:t>Unknown*</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4664F63F" w14:textId="77777777">
            <w:pPr>
              <w:jc w:val="center"/>
              <w:rPr>
                <w:color w:val="000000"/>
                <w:sz w:val="22"/>
                <w:szCs w:val="22"/>
                <w:lang w:eastAsia="en-GB"/>
              </w:rPr>
            </w:pPr>
            <w:r w:rsidRPr="00B7014C">
              <w:rPr>
                <w:color w:val="000000"/>
                <w:sz w:val="22"/>
                <w:szCs w:val="22"/>
                <w:lang w:eastAsia="en-GB"/>
              </w:rPr>
              <w:t>2</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2A479C84" w14:textId="77777777">
            <w:pPr>
              <w:jc w:val="center"/>
              <w:rPr>
                <w:color w:val="000000"/>
                <w:sz w:val="22"/>
                <w:szCs w:val="22"/>
                <w:lang w:eastAsia="en-GB"/>
              </w:rPr>
            </w:pPr>
            <w:r w:rsidRPr="00B7014C">
              <w:rPr>
                <w:color w:val="000000"/>
                <w:sz w:val="22"/>
                <w:szCs w:val="22"/>
                <w:lang w:eastAsia="en-GB"/>
              </w:rPr>
              <w:t>6</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184C2E53" w14:textId="77777777">
            <w:pPr>
              <w:jc w:val="center"/>
              <w:rPr>
                <w:color w:val="000000"/>
                <w:sz w:val="22"/>
                <w:szCs w:val="22"/>
                <w:lang w:eastAsia="en-GB"/>
              </w:rPr>
            </w:pPr>
            <w:r w:rsidRPr="00B7014C">
              <w:rPr>
                <w:color w:val="000000"/>
                <w:sz w:val="22"/>
                <w:szCs w:val="22"/>
                <w:lang w:eastAsia="en-GB"/>
              </w:rPr>
              <w:t>6</w:t>
            </w:r>
          </w:p>
        </w:tc>
        <w:tc>
          <w:tcPr>
            <w:tcW w:w="604" w:type="pct"/>
            <w:tcBorders>
              <w:top w:val="nil"/>
              <w:left w:val="nil"/>
              <w:bottom w:val="single" w:color="auto" w:sz="8" w:space="0"/>
              <w:right w:val="single" w:color="auto" w:sz="8" w:space="0"/>
            </w:tcBorders>
            <w:vAlign w:val="center"/>
          </w:tcPr>
          <w:p w:rsidRPr="00B7014C" w:rsidR="00282D97" w:rsidP="00282D97" w:rsidRDefault="00A84EA8" w14:paraId="6ACE55AE" w14:textId="0A26D10C">
            <w:pPr>
              <w:jc w:val="center"/>
              <w:rPr>
                <w:color w:val="000000"/>
                <w:sz w:val="22"/>
                <w:szCs w:val="22"/>
                <w:lang w:eastAsia="en-GB"/>
              </w:rPr>
            </w:pPr>
            <w:r w:rsidRPr="00B7014C">
              <w:rPr>
                <w:color w:val="000000"/>
                <w:sz w:val="22"/>
                <w:szCs w:val="22"/>
                <w:lang w:eastAsia="en-GB"/>
              </w:rPr>
              <w:t>5</w:t>
            </w:r>
          </w:p>
        </w:tc>
      </w:tr>
      <w:tr w:rsidRPr="00B7014C" w:rsidR="00282D97" w:rsidTr="00282D97" w14:paraId="4AE75033" w14:textId="0E5C38F6">
        <w:trPr>
          <w:trHeight w:val="315"/>
        </w:trPr>
        <w:tc>
          <w:tcPr>
            <w:tcW w:w="2583" w:type="pct"/>
            <w:tcBorders>
              <w:top w:val="nil"/>
              <w:left w:val="single" w:color="auto" w:sz="8" w:space="0"/>
              <w:bottom w:val="single" w:color="auto" w:sz="8" w:space="0"/>
              <w:right w:val="single" w:color="auto" w:sz="8" w:space="0"/>
            </w:tcBorders>
            <w:shd w:val="clear" w:color="auto" w:fill="auto"/>
            <w:noWrap/>
            <w:vAlign w:val="center"/>
            <w:hideMark/>
          </w:tcPr>
          <w:p w:rsidRPr="00B7014C" w:rsidR="00282D97" w:rsidP="00D45773" w:rsidRDefault="00282D97" w14:paraId="551BC62E" w14:textId="77777777">
            <w:pPr>
              <w:rPr>
                <w:color w:val="000000"/>
                <w:sz w:val="22"/>
                <w:szCs w:val="22"/>
                <w:lang w:eastAsia="en-GB"/>
              </w:rPr>
            </w:pPr>
            <w:r w:rsidRPr="00B7014C">
              <w:rPr>
                <w:color w:val="000000"/>
                <w:sz w:val="22"/>
                <w:szCs w:val="22"/>
                <w:lang w:eastAsia="en-GB"/>
              </w:rPr>
              <w:t xml:space="preserve">Other </w:t>
            </w:r>
            <w:proofErr w:type="spellStart"/>
            <w:r w:rsidRPr="00B7014C">
              <w:rPr>
                <w:color w:val="000000"/>
                <w:sz w:val="22"/>
                <w:szCs w:val="22"/>
                <w:lang w:eastAsia="en-GB"/>
              </w:rPr>
              <w:t>LAs</w:t>
            </w:r>
            <w:proofErr w:type="spellEnd"/>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258EC368" w14:textId="77777777">
            <w:pPr>
              <w:jc w:val="center"/>
              <w:rPr>
                <w:color w:val="000000"/>
                <w:sz w:val="22"/>
                <w:szCs w:val="22"/>
                <w:lang w:eastAsia="en-GB"/>
              </w:rPr>
            </w:pPr>
            <w:r w:rsidRPr="00B7014C">
              <w:rPr>
                <w:color w:val="000000"/>
                <w:sz w:val="22"/>
                <w:szCs w:val="22"/>
                <w:lang w:eastAsia="en-GB"/>
              </w:rPr>
              <w:t>49</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70EB2773" w14:textId="77777777">
            <w:pPr>
              <w:jc w:val="center"/>
              <w:rPr>
                <w:color w:val="000000"/>
                <w:sz w:val="22"/>
                <w:szCs w:val="22"/>
                <w:lang w:eastAsia="en-GB"/>
              </w:rPr>
            </w:pPr>
            <w:r w:rsidRPr="00B7014C">
              <w:rPr>
                <w:color w:val="000000"/>
                <w:sz w:val="22"/>
                <w:szCs w:val="22"/>
                <w:lang w:eastAsia="en-GB"/>
              </w:rPr>
              <w:t>54</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0855493D" w14:textId="77777777">
            <w:pPr>
              <w:jc w:val="center"/>
              <w:rPr>
                <w:color w:val="000000"/>
                <w:sz w:val="22"/>
                <w:szCs w:val="22"/>
                <w:lang w:eastAsia="en-GB"/>
              </w:rPr>
            </w:pPr>
            <w:r w:rsidRPr="00B7014C">
              <w:rPr>
                <w:color w:val="000000"/>
                <w:sz w:val="22"/>
                <w:szCs w:val="22"/>
                <w:lang w:eastAsia="en-GB"/>
              </w:rPr>
              <w:t>51</w:t>
            </w:r>
          </w:p>
        </w:tc>
        <w:tc>
          <w:tcPr>
            <w:tcW w:w="604" w:type="pct"/>
            <w:tcBorders>
              <w:top w:val="nil"/>
              <w:left w:val="nil"/>
              <w:bottom w:val="single" w:color="auto" w:sz="8" w:space="0"/>
              <w:right w:val="single" w:color="auto" w:sz="8" w:space="0"/>
            </w:tcBorders>
            <w:vAlign w:val="center"/>
          </w:tcPr>
          <w:p w:rsidRPr="00B7014C" w:rsidR="00282D97" w:rsidP="00282D97" w:rsidRDefault="003F6C75" w14:paraId="0301FAAE" w14:textId="79B78D20">
            <w:pPr>
              <w:jc w:val="center"/>
              <w:rPr>
                <w:color w:val="000000"/>
                <w:sz w:val="22"/>
                <w:szCs w:val="22"/>
                <w:lang w:eastAsia="en-GB"/>
              </w:rPr>
            </w:pPr>
            <w:r w:rsidRPr="00B7014C">
              <w:rPr>
                <w:color w:val="000000"/>
                <w:sz w:val="22"/>
                <w:szCs w:val="22"/>
                <w:lang w:eastAsia="en-GB"/>
              </w:rPr>
              <w:t>60</w:t>
            </w:r>
          </w:p>
        </w:tc>
      </w:tr>
      <w:tr w:rsidRPr="00B7014C" w:rsidR="00282D97" w:rsidTr="00282D97" w14:paraId="050F0971" w14:textId="7E1A2F14">
        <w:trPr>
          <w:trHeight w:val="330"/>
        </w:trPr>
        <w:tc>
          <w:tcPr>
            <w:tcW w:w="2583" w:type="pct"/>
            <w:tcBorders>
              <w:top w:val="nil"/>
              <w:left w:val="single" w:color="auto" w:sz="8" w:space="0"/>
              <w:bottom w:val="single" w:color="auto" w:sz="8" w:space="0"/>
              <w:right w:val="single" w:color="auto" w:sz="8" w:space="0"/>
            </w:tcBorders>
            <w:shd w:val="clear" w:color="auto" w:fill="auto"/>
            <w:noWrap/>
            <w:vAlign w:val="center"/>
            <w:hideMark/>
          </w:tcPr>
          <w:p w:rsidRPr="00B7014C" w:rsidR="00282D97" w:rsidP="00D45773" w:rsidRDefault="00282D97" w14:paraId="26FC805B" w14:textId="77777777">
            <w:pPr>
              <w:rPr>
                <w:b/>
                <w:bCs/>
                <w:color w:val="000000"/>
                <w:sz w:val="22"/>
                <w:szCs w:val="22"/>
                <w:lang w:eastAsia="en-GB"/>
              </w:rPr>
            </w:pPr>
            <w:r w:rsidRPr="00B7014C">
              <w:rPr>
                <w:b/>
                <w:bCs/>
                <w:color w:val="000000"/>
                <w:sz w:val="22"/>
                <w:szCs w:val="22"/>
                <w:lang w:eastAsia="en-GB"/>
              </w:rPr>
              <w:t>Total out of borough pupils imported</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3FD4F601" w14:textId="77777777">
            <w:pPr>
              <w:jc w:val="center"/>
              <w:rPr>
                <w:b/>
                <w:bCs/>
                <w:color w:val="000000"/>
                <w:sz w:val="22"/>
                <w:szCs w:val="22"/>
                <w:lang w:eastAsia="en-GB"/>
              </w:rPr>
            </w:pPr>
            <w:r w:rsidRPr="00B7014C">
              <w:rPr>
                <w:b/>
                <w:bCs/>
                <w:color w:val="000000"/>
                <w:sz w:val="22"/>
                <w:szCs w:val="22"/>
                <w:lang w:eastAsia="en-GB"/>
              </w:rPr>
              <w:t>2,148</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67EE611F" w14:textId="77777777">
            <w:pPr>
              <w:jc w:val="center"/>
              <w:rPr>
                <w:b/>
                <w:bCs/>
                <w:color w:val="000000"/>
                <w:sz w:val="22"/>
                <w:szCs w:val="22"/>
                <w:lang w:eastAsia="en-GB"/>
              </w:rPr>
            </w:pPr>
            <w:r w:rsidRPr="00B7014C">
              <w:rPr>
                <w:b/>
                <w:bCs/>
                <w:color w:val="000000"/>
                <w:sz w:val="22"/>
                <w:szCs w:val="22"/>
                <w:lang w:eastAsia="en-GB"/>
              </w:rPr>
              <w:t>2,266</w:t>
            </w:r>
          </w:p>
        </w:tc>
        <w:tc>
          <w:tcPr>
            <w:tcW w:w="604" w:type="pct"/>
            <w:tcBorders>
              <w:top w:val="nil"/>
              <w:left w:val="nil"/>
              <w:bottom w:val="single" w:color="auto" w:sz="8" w:space="0"/>
              <w:right w:val="single" w:color="auto" w:sz="8" w:space="0"/>
            </w:tcBorders>
            <w:shd w:val="clear" w:color="auto" w:fill="auto"/>
            <w:noWrap/>
            <w:vAlign w:val="center"/>
            <w:hideMark/>
          </w:tcPr>
          <w:p w:rsidRPr="00B7014C" w:rsidR="00282D97" w:rsidP="00282D97" w:rsidRDefault="00282D97" w14:paraId="3F10DD85" w14:textId="77777777">
            <w:pPr>
              <w:jc w:val="center"/>
              <w:rPr>
                <w:b/>
                <w:bCs/>
                <w:color w:val="000000"/>
                <w:sz w:val="22"/>
                <w:szCs w:val="22"/>
                <w:lang w:eastAsia="en-GB"/>
              </w:rPr>
            </w:pPr>
            <w:r w:rsidRPr="00B7014C">
              <w:rPr>
                <w:b/>
                <w:bCs/>
                <w:color w:val="000000"/>
                <w:sz w:val="22"/>
                <w:szCs w:val="22"/>
                <w:lang w:eastAsia="en-GB"/>
              </w:rPr>
              <w:t>2,359</w:t>
            </w:r>
          </w:p>
        </w:tc>
        <w:tc>
          <w:tcPr>
            <w:tcW w:w="604" w:type="pct"/>
            <w:tcBorders>
              <w:top w:val="nil"/>
              <w:left w:val="nil"/>
              <w:bottom w:val="single" w:color="auto" w:sz="8" w:space="0"/>
              <w:right w:val="single" w:color="auto" w:sz="8" w:space="0"/>
            </w:tcBorders>
            <w:vAlign w:val="center"/>
          </w:tcPr>
          <w:p w:rsidRPr="00B7014C" w:rsidR="00282D97" w:rsidP="00282D97" w:rsidRDefault="003F6C75" w14:paraId="4D8D0129" w14:textId="343488EB">
            <w:pPr>
              <w:jc w:val="center"/>
              <w:rPr>
                <w:b/>
                <w:bCs/>
                <w:color w:val="000000"/>
                <w:sz w:val="22"/>
                <w:szCs w:val="22"/>
                <w:lang w:eastAsia="en-GB"/>
              </w:rPr>
            </w:pPr>
            <w:r w:rsidRPr="00B7014C">
              <w:rPr>
                <w:b/>
                <w:bCs/>
                <w:color w:val="000000"/>
                <w:sz w:val="22"/>
                <w:szCs w:val="22"/>
                <w:lang w:eastAsia="en-GB"/>
              </w:rPr>
              <w:t>2,468</w:t>
            </w:r>
          </w:p>
        </w:tc>
      </w:tr>
    </w:tbl>
    <w:p w:rsidRPr="00B7014C" w:rsidR="00A16979" w:rsidP="00A16979" w:rsidRDefault="00A16979" w14:paraId="23C9FFD2" w14:textId="77777777">
      <w:pPr>
        <w:rPr>
          <w:sz w:val="20"/>
          <w:szCs w:val="20"/>
        </w:rPr>
      </w:pPr>
      <w:r w:rsidRPr="00B7014C">
        <w:rPr>
          <w:sz w:val="20"/>
          <w:szCs w:val="20"/>
        </w:rPr>
        <w:t xml:space="preserve">Source: DfE </w:t>
      </w:r>
      <w:proofErr w:type="spellStart"/>
      <w:r w:rsidRPr="00B7014C">
        <w:rPr>
          <w:sz w:val="20"/>
          <w:szCs w:val="20"/>
        </w:rPr>
        <w:t>SFR</w:t>
      </w:r>
      <w:proofErr w:type="spellEnd"/>
      <w:r w:rsidRPr="00B7014C">
        <w:rPr>
          <w:sz w:val="20"/>
          <w:szCs w:val="20"/>
        </w:rPr>
        <w:t xml:space="preserve"> Cross Border Movement</w:t>
      </w:r>
    </w:p>
    <w:p w:rsidRPr="00B7014C" w:rsidR="00482ACA" w:rsidP="00482ACA" w:rsidRDefault="00482ACA" w14:paraId="4EEAF25F" w14:textId="204D399D">
      <w:r w:rsidRPr="00B7014C">
        <w:rPr>
          <w:sz w:val="20"/>
          <w:szCs w:val="20"/>
        </w:rPr>
        <w:t>*</w:t>
      </w:r>
      <w:r w:rsidRPr="00B7014C">
        <w:t xml:space="preserve"> </w:t>
      </w:r>
      <w:r w:rsidRPr="00B7014C">
        <w:rPr>
          <w:sz w:val="20"/>
          <w:szCs w:val="20"/>
        </w:rPr>
        <w:t>Includes pupils with invalid postcodes</w:t>
      </w:r>
    </w:p>
    <w:p w:rsidRPr="00B7014C" w:rsidR="00A16979" w:rsidP="00A16979" w:rsidRDefault="00A16979" w14:paraId="1767DCDB" w14:textId="77777777">
      <w:pPr>
        <w:rPr>
          <w:b/>
        </w:rPr>
      </w:pPr>
    </w:p>
    <w:p w:rsidRPr="00B7014C" w:rsidR="00A16979" w:rsidP="00A16979" w:rsidRDefault="00A16979" w14:paraId="06906E91" w14:textId="3E21D29C">
      <w:pPr>
        <w:rPr>
          <w:b/>
        </w:rPr>
      </w:pPr>
      <w:r w:rsidRPr="00B7014C">
        <w:rPr>
          <w:b/>
        </w:rPr>
        <w:t>Transferral rate of Harrow primary school pupils to Harrow secondary schools</w:t>
      </w:r>
    </w:p>
    <w:p w:rsidRPr="00B7014C" w:rsidR="00A16979" w:rsidP="00A16979" w:rsidRDefault="00A16979" w14:paraId="6C544B8C" w14:textId="6F9948CC">
      <w:r w:rsidRPr="00B7014C">
        <w:t xml:space="preserve">The number of pupils in Year 6 has been increasing over the last few years, with latest numbers at </w:t>
      </w:r>
      <w:r w:rsidRPr="00B7014C" w:rsidR="00677590">
        <w:t>3,038 as at January 20</w:t>
      </w:r>
      <w:r w:rsidRPr="00B7014C" w:rsidR="00873615">
        <w:t>20 (</w:t>
      </w:r>
      <w:r w:rsidRPr="00B7014C">
        <w:t>2,</w:t>
      </w:r>
      <w:r w:rsidRPr="00B7014C" w:rsidR="00207FD7">
        <w:t>972</w:t>
      </w:r>
      <w:r w:rsidRPr="00B7014C">
        <w:t xml:space="preserve"> as at May 201</w:t>
      </w:r>
      <w:r w:rsidRPr="00B7014C" w:rsidR="00207FD7">
        <w:t>9</w:t>
      </w:r>
      <w:r w:rsidRPr="00B7014C" w:rsidR="00873615">
        <w:t>)</w:t>
      </w:r>
      <w:r w:rsidRPr="00B7014C">
        <w:t xml:space="preserve">.  The percentage of Year 6 pupils that have transferred to Year 7 in Harrows’ high schools has stayed steady between 66% and </w:t>
      </w:r>
      <w:r w:rsidRPr="00B7014C" w:rsidR="00207FD7">
        <w:t>70</w:t>
      </w:r>
      <w:r w:rsidRPr="00B7014C">
        <w:t xml:space="preserve">% over the last </w:t>
      </w:r>
      <w:r w:rsidRPr="00B7014C" w:rsidR="00207FD7">
        <w:t>8</w:t>
      </w:r>
      <w:r w:rsidRPr="00B7014C">
        <w:t xml:space="preserve"> years, with this year’s rate at 6</w:t>
      </w:r>
      <w:r w:rsidRPr="00B7014C" w:rsidR="003A3E3F">
        <w:t>8</w:t>
      </w:r>
      <w:r w:rsidRPr="00B7014C" w:rsidR="00207FD7">
        <w:t>.</w:t>
      </w:r>
      <w:r w:rsidRPr="00B7014C" w:rsidR="00073915">
        <w:t>7</w:t>
      </w:r>
      <w:r w:rsidRPr="00B7014C">
        <w:t xml:space="preserve">%.  The remainder of the year 6 pupils are likely to be leaving a Harrow primary school to attend an independent school or a state school in another borough including maintained, voluntary aided and grammar schools.  Table </w:t>
      </w:r>
      <w:r w:rsidRPr="00B7014C" w:rsidR="00404743">
        <w:t>9</w:t>
      </w:r>
      <w:r w:rsidRPr="00B7014C">
        <w:t xml:space="preserve"> below shows the Year 6 to Year 7 transferral rates for the last </w:t>
      </w:r>
      <w:r w:rsidRPr="00B7014C" w:rsidR="00207FD7">
        <w:t>1</w:t>
      </w:r>
      <w:r w:rsidRPr="00B7014C" w:rsidR="00DA2013">
        <w:t>1</w:t>
      </w:r>
      <w:r w:rsidRPr="00B7014C">
        <w:t xml:space="preserve"> years.</w:t>
      </w:r>
    </w:p>
    <w:p w:rsidRPr="00B7014C" w:rsidR="00A16979" w:rsidP="00A16979" w:rsidRDefault="00A16979" w14:paraId="78E32215" w14:textId="77777777"/>
    <w:p w:rsidRPr="00B7014C" w:rsidR="00A16979" w:rsidP="00A16979" w:rsidRDefault="00A16979" w14:paraId="3C9F72F2" w14:textId="77777777">
      <w:r w:rsidRPr="00B7014C">
        <w:br w:type="page"/>
      </w:r>
    </w:p>
    <w:tbl>
      <w:tblPr>
        <w:tblW w:w="4932" w:type="pct"/>
        <w:tblLook w:val="04A0" w:firstRow="1" w:lastRow="0" w:firstColumn="1" w:lastColumn="0" w:noHBand="0" w:noVBand="1"/>
      </w:tblPr>
      <w:tblGrid>
        <w:gridCol w:w="1063"/>
        <w:gridCol w:w="1900"/>
        <w:gridCol w:w="1069"/>
        <w:gridCol w:w="3170"/>
        <w:gridCol w:w="1339"/>
        <w:gridCol w:w="1524"/>
      </w:tblGrid>
      <w:tr w:rsidRPr="00B7014C" w:rsidR="0085691D" w:rsidTr="006619FE" w14:paraId="1F582F73" w14:textId="77777777">
        <w:trPr>
          <w:trHeight w:val="569"/>
        </w:trPr>
        <w:tc>
          <w:tcPr>
            <w:tcW w:w="5000" w:type="pct"/>
            <w:gridSpan w:val="6"/>
            <w:tcBorders>
              <w:top w:val="nil"/>
              <w:left w:val="nil"/>
              <w:bottom w:val="single" w:color="auto" w:sz="4" w:space="0"/>
              <w:right w:val="nil"/>
            </w:tcBorders>
            <w:shd w:val="clear" w:color="auto" w:fill="auto"/>
            <w:vAlign w:val="center"/>
            <w:hideMark/>
          </w:tcPr>
          <w:p w:rsidRPr="00B7014C" w:rsidR="0085691D" w:rsidP="0085691D" w:rsidRDefault="0085691D" w14:paraId="3C4432A8" w14:textId="77777777">
            <w:pPr>
              <w:rPr>
                <w:color w:val="000000"/>
                <w:sz w:val="20"/>
                <w:szCs w:val="20"/>
                <w:lang w:eastAsia="en-GB"/>
              </w:rPr>
            </w:pPr>
            <w:r w:rsidRPr="00B7014C">
              <w:rPr>
                <w:color w:val="000000"/>
                <w:sz w:val="20"/>
                <w:szCs w:val="20"/>
                <w:lang w:eastAsia="en-GB"/>
              </w:rPr>
              <w:lastRenderedPageBreak/>
              <w:t>Table 9: Proportion of Harrow’s Primary School Year 6 pupils (as at the May school census) transferring across to Year 7 in Harrow’s High Schools (as at the October school census)</w:t>
            </w:r>
          </w:p>
        </w:tc>
      </w:tr>
      <w:tr w:rsidRPr="00B7014C" w:rsidR="00207FD7" w:rsidTr="006619FE" w14:paraId="2F54AEF3" w14:textId="77777777">
        <w:trPr>
          <w:trHeight w:val="1042"/>
        </w:trPr>
        <w:tc>
          <w:tcPr>
            <w:tcW w:w="52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207FD7" w:rsidRDefault="0085691D" w14:paraId="37972B29" w14:textId="453922C8">
            <w:pPr>
              <w:jc w:val="center"/>
              <w:rPr>
                <w:b/>
                <w:bCs/>
                <w:color w:val="000000"/>
                <w:sz w:val="20"/>
                <w:szCs w:val="20"/>
                <w:lang w:eastAsia="en-GB"/>
              </w:rPr>
            </w:pPr>
            <w:r w:rsidRPr="00B7014C">
              <w:rPr>
                <w:b/>
                <w:bCs/>
                <w:color w:val="000000"/>
                <w:sz w:val="20"/>
                <w:szCs w:val="20"/>
                <w:lang w:eastAsia="en-GB"/>
              </w:rPr>
              <w:t>School Census</w:t>
            </w:r>
          </w:p>
        </w:tc>
        <w:tc>
          <w:tcPr>
            <w:tcW w:w="94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3D5F9A83" w14:textId="7820C44C">
            <w:pPr>
              <w:jc w:val="center"/>
              <w:rPr>
                <w:b/>
                <w:bCs/>
                <w:color w:val="000000"/>
                <w:sz w:val="20"/>
                <w:szCs w:val="20"/>
                <w:lang w:eastAsia="en-GB"/>
              </w:rPr>
            </w:pPr>
            <w:r w:rsidRPr="00B7014C">
              <w:rPr>
                <w:b/>
                <w:bCs/>
                <w:color w:val="000000"/>
                <w:sz w:val="20"/>
                <w:szCs w:val="20"/>
                <w:lang w:eastAsia="en-GB"/>
              </w:rPr>
              <w:t xml:space="preserve">Total </w:t>
            </w:r>
            <w:proofErr w:type="spellStart"/>
            <w:r w:rsidRPr="00B7014C">
              <w:rPr>
                <w:b/>
                <w:bCs/>
                <w:color w:val="000000"/>
                <w:sz w:val="20"/>
                <w:szCs w:val="20"/>
                <w:lang w:eastAsia="en-GB"/>
              </w:rPr>
              <w:t>Yr</w:t>
            </w:r>
            <w:proofErr w:type="spellEnd"/>
            <w:r w:rsidRPr="00B7014C">
              <w:rPr>
                <w:b/>
                <w:bCs/>
                <w:color w:val="000000"/>
                <w:sz w:val="20"/>
                <w:szCs w:val="20"/>
                <w:lang w:eastAsia="en-GB"/>
              </w:rPr>
              <w:t xml:space="preserve"> 6</w:t>
            </w:r>
            <w:r w:rsidRPr="00B7014C" w:rsidR="00B043FF">
              <w:rPr>
                <w:b/>
                <w:bCs/>
                <w:color w:val="000000"/>
                <w:sz w:val="20"/>
                <w:szCs w:val="20"/>
                <w:lang w:eastAsia="en-GB"/>
              </w:rPr>
              <w:t>*</w:t>
            </w:r>
            <w:r w:rsidRPr="00B7014C">
              <w:rPr>
                <w:b/>
                <w:bCs/>
                <w:color w:val="000000"/>
                <w:sz w:val="20"/>
                <w:szCs w:val="20"/>
                <w:lang w:eastAsia="en-GB"/>
              </w:rPr>
              <w:t xml:space="preserve"> in Harrow primary schools as at School Census</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17B76C88" w14:textId="77777777">
            <w:pPr>
              <w:jc w:val="center"/>
              <w:rPr>
                <w:b/>
                <w:bCs/>
                <w:color w:val="000000"/>
                <w:sz w:val="20"/>
                <w:szCs w:val="20"/>
                <w:lang w:eastAsia="en-GB"/>
              </w:rPr>
            </w:pPr>
            <w:r w:rsidRPr="00B7014C">
              <w:rPr>
                <w:b/>
                <w:bCs/>
                <w:color w:val="000000"/>
                <w:sz w:val="20"/>
                <w:szCs w:val="20"/>
                <w:lang w:eastAsia="en-GB"/>
              </w:rPr>
              <w:t>October School Census</w:t>
            </w:r>
          </w:p>
        </w:tc>
        <w:tc>
          <w:tcPr>
            <w:tcW w:w="157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72CB682F" w14:textId="77777777">
            <w:pPr>
              <w:jc w:val="center"/>
              <w:rPr>
                <w:b/>
                <w:bCs/>
                <w:color w:val="000000"/>
                <w:sz w:val="20"/>
                <w:szCs w:val="20"/>
                <w:lang w:eastAsia="en-GB"/>
              </w:rPr>
            </w:pPr>
            <w:r w:rsidRPr="00B7014C">
              <w:rPr>
                <w:b/>
                <w:bCs/>
                <w:color w:val="000000"/>
                <w:sz w:val="20"/>
                <w:szCs w:val="20"/>
                <w:lang w:eastAsia="en-GB"/>
              </w:rPr>
              <w:t xml:space="preserve">No. of Harrow primary school </w:t>
            </w:r>
            <w:proofErr w:type="spellStart"/>
            <w:r w:rsidRPr="00B7014C">
              <w:rPr>
                <w:b/>
                <w:bCs/>
                <w:color w:val="000000"/>
                <w:sz w:val="20"/>
                <w:szCs w:val="20"/>
                <w:lang w:eastAsia="en-GB"/>
              </w:rPr>
              <w:t>Yr</w:t>
            </w:r>
            <w:proofErr w:type="spellEnd"/>
            <w:r w:rsidRPr="00B7014C">
              <w:rPr>
                <w:b/>
                <w:bCs/>
                <w:color w:val="000000"/>
                <w:sz w:val="20"/>
                <w:szCs w:val="20"/>
                <w:lang w:eastAsia="en-GB"/>
              </w:rPr>
              <w:t xml:space="preserve"> 6 pupils transferring to </w:t>
            </w:r>
            <w:proofErr w:type="spellStart"/>
            <w:r w:rsidRPr="00B7014C">
              <w:rPr>
                <w:b/>
                <w:bCs/>
                <w:color w:val="000000"/>
                <w:sz w:val="20"/>
                <w:szCs w:val="20"/>
                <w:lang w:eastAsia="en-GB"/>
              </w:rPr>
              <w:t>Yr</w:t>
            </w:r>
            <w:proofErr w:type="spellEnd"/>
            <w:r w:rsidRPr="00B7014C">
              <w:rPr>
                <w:b/>
                <w:bCs/>
                <w:color w:val="000000"/>
                <w:sz w:val="20"/>
                <w:szCs w:val="20"/>
                <w:lang w:eastAsia="en-GB"/>
              </w:rPr>
              <w:t xml:space="preserve"> 7 in Harrow's high schools as at October School Census*</w:t>
            </w:r>
          </w:p>
        </w:tc>
        <w:tc>
          <w:tcPr>
            <w:tcW w:w="66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0068B78F" w14:textId="77777777">
            <w:pPr>
              <w:jc w:val="center"/>
              <w:rPr>
                <w:b/>
                <w:bCs/>
                <w:color w:val="000000"/>
                <w:sz w:val="20"/>
                <w:szCs w:val="20"/>
                <w:lang w:eastAsia="en-GB"/>
              </w:rPr>
            </w:pPr>
            <w:r w:rsidRPr="00B7014C">
              <w:rPr>
                <w:b/>
                <w:bCs/>
                <w:color w:val="000000"/>
                <w:sz w:val="20"/>
                <w:szCs w:val="20"/>
                <w:lang w:eastAsia="en-GB"/>
              </w:rPr>
              <w:t>% transferring</w:t>
            </w:r>
          </w:p>
        </w:tc>
        <w:tc>
          <w:tcPr>
            <w:tcW w:w="75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4C568C64" w14:textId="417DE776">
            <w:pPr>
              <w:jc w:val="center"/>
              <w:rPr>
                <w:b/>
                <w:bCs/>
                <w:color w:val="000000"/>
                <w:sz w:val="20"/>
                <w:szCs w:val="20"/>
                <w:lang w:eastAsia="en-GB"/>
              </w:rPr>
            </w:pPr>
            <w:proofErr w:type="spellStart"/>
            <w:r w:rsidRPr="00B7014C">
              <w:rPr>
                <w:b/>
                <w:bCs/>
                <w:color w:val="000000"/>
                <w:sz w:val="20"/>
                <w:szCs w:val="20"/>
                <w:lang w:eastAsia="en-GB"/>
              </w:rPr>
              <w:t>Yr</w:t>
            </w:r>
            <w:proofErr w:type="spellEnd"/>
            <w:r w:rsidRPr="00B7014C">
              <w:rPr>
                <w:b/>
                <w:bCs/>
                <w:color w:val="000000"/>
                <w:sz w:val="20"/>
                <w:szCs w:val="20"/>
                <w:lang w:eastAsia="en-GB"/>
              </w:rPr>
              <w:t xml:space="preserve"> 7 Number</w:t>
            </w:r>
            <w:r w:rsidRPr="00B7014C" w:rsidR="006619FE">
              <w:rPr>
                <w:b/>
                <w:bCs/>
                <w:color w:val="000000"/>
                <w:sz w:val="20"/>
                <w:szCs w:val="20"/>
                <w:lang w:eastAsia="en-GB"/>
              </w:rPr>
              <w:t>*</w:t>
            </w:r>
            <w:r w:rsidRPr="00B7014C">
              <w:rPr>
                <w:b/>
                <w:bCs/>
                <w:color w:val="000000"/>
                <w:sz w:val="20"/>
                <w:szCs w:val="20"/>
                <w:lang w:eastAsia="en-GB"/>
              </w:rPr>
              <w:t xml:space="preserve"> on Roll as at October School Census</w:t>
            </w:r>
          </w:p>
        </w:tc>
      </w:tr>
      <w:tr w:rsidRPr="00B7014C" w:rsidR="00207FD7" w:rsidTr="006619FE" w14:paraId="0B4C21E6" w14:textId="77777777">
        <w:trPr>
          <w:trHeight w:val="315"/>
        </w:trPr>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5EC8613D" w14:textId="77777777">
            <w:pPr>
              <w:jc w:val="center"/>
              <w:rPr>
                <w:color w:val="000000"/>
                <w:sz w:val="20"/>
                <w:szCs w:val="20"/>
                <w:lang w:eastAsia="en-GB"/>
              </w:rPr>
            </w:pPr>
            <w:r w:rsidRPr="00B7014C">
              <w:rPr>
                <w:color w:val="000000"/>
                <w:sz w:val="20"/>
                <w:szCs w:val="20"/>
                <w:lang w:eastAsia="en-GB"/>
              </w:rPr>
              <w:t>May-10</w:t>
            </w:r>
          </w:p>
        </w:tc>
        <w:tc>
          <w:tcPr>
            <w:tcW w:w="9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48474D82" w14:textId="77777777">
            <w:pPr>
              <w:jc w:val="center"/>
              <w:rPr>
                <w:color w:val="000000"/>
                <w:sz w:val="20"/>
                <w:szCs w:val="20"/>
                <w:lang w:eastAsia="en-GB"/>
              </w:rPr>
            </w:pPr>
            <w:r w:rsidRPr="00B7014C">
              <w:rPr>
                <w:color w:val="000000"/>
                <w:sz w:val="20"/>
                <w:szCs w:val="20"/>
                <w:lang w:eastAsia="en-GB"/>
              </w:rPr>
              <w:t>2,394</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727540BA" w14:textId="77777777">
            <w:pPr>
              <w:jc w:val="center"/>
              <w:rPr>
                <w:color w:val="000000"/>
                <w:sz w:val="20"/>
                <w:szCs w:val="20"/>
                <w:lang w:eastAsia="en-GB"/>
              </w:rPr>
            </w:pPr>
            <w:r w:rsidRPr="00B7014C">
              <w:rPr>
                <w:color w:val="000000"/>
                <w:sz w:val="20"/>
                <w:szCs w:val="20"/>
                <w:lang w:eastAsia="en-GB"/>
              </w:rPr>
              <w:t>Oct-10</w:t>
            </w:r>
          </w:p>
        </w:tc>
        <w:tc>
          <w:tcPr>
            <w:tcW w:w="15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17410ADF" w14:textId="77777777">
            <w:pPr>
              <w:jc w:val="center"/>
              <w:rPr>
                <w:color w:val="000000"/>
                <w:sz w:val="20"/>
                <w:szCs w:val="20"/>
                <w:lang w:eastAsia="en-GB"/>
              </w:rPr>
            </w:pPr>
            <w:r w:rsidRPr="00B7014C">
              <w:rPr>
                <w:color w:val="000000"/>
                <w:sz w:val="20"/>
                <w:szCs w:val="20"/>
                <w:lang w:eastAsia="en-GB"/>
              </w:rPr>
              <w:t>1,709</w:t>
            </w:r>
          </w:p>
        </w:tc>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354AC4AF" w14:textId="77777777">
            <w:pPr>
              <w:jc w:val="center"/>
              <w:rPr>
                <w:color w:val="000000"/>
                <w:sz w:val="20"/>
                <w:szCs w:val="20"/>
                <w:lang w:eastAsia="en-GB"/>
              </w:rPr>
            </w:pPr>
            <w:r w:rsidRPr="00B7014C">
              <w:rPr>
                <w:color w:val="000000"/>
                <w:sz w:val="20"/>
                <w:szCs w:val="20"/>
                <w:lang w:eastAsia="en-GB"/>
              </w:rPr>
              <w:t>71.4%</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106845D8" w14:textId="77777777">
            <w:pPr>
              <w:jc w:val="center"/>
              <w:rPr>
                <w:color w:val="000000"/>
                <w:sz w:val="20"/>
                <w:szCs w:val="20"/>
                <w:lang w:eastAsia="en-GB"/>
              </w:rPr>
            </w:pPr>
            <w:r w:rsidRPr="00B7014C">
              <w:rPr>
                <w:color w:val="000000"/>
                <w:sz w:val="20"/>
                <w:szCs w:val="20"/>
                <w:lang w:eastAsia="en-GB"/>
              </w:rPr>
              <w:t>1,972</w:t>
            </w:r>
          </w:p>
        </w:tc>
      </w:tr>
      <w:tr w:rsidRPr="00B7014C" w:rsidR="00207FD7" w:rsidTr="006619FE" w14:paraId="5C59AEC5" w14:textId="77777777">
        <w:trPr>
          <w:trHeight w:val="315"/>
        </w:trPr>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02BD3167" w14:textId="77777777">
            <w:pPr>
              <w:jc w:val="center"/>
              <w:rPr>
                <w:color w:val="000000"/>
                <w:sz w:val="20"/>
                <w:szCs w:val="20"/>
                <w:lang w:eastAsia="en-GB"/>
              </w:rPr>
            </w:pPr>
            <w:r w:rsidRPr="00B7014C">
              <w:rPr>
                <w:color w:val="000000"/>
                <w:sz w:val="20"/>
                <w:szCs w:val="20"/>
                <w:lang w:eastAsia="en-GB"/>
              </w:rPr>
              <w:t>May-11</w:t>
            </w:r>
          </w:p>
        </w:tc>
        <w:tc>
          <w:tcPr>
            <w:tcW w:w="9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2F1CDC6A" w14:textId="77777777">
            <w:pPr>
              <w:jc w:val="center"/>
              <w:rPr>
                <w:color w:val="000000"/>
                <w:sz w:val="20"/>
                <w:szCs w:val="20"/>
                <w:lang w:eastAsia="en-GB"/>
              </w:rPr>
            </w:pPr>
            <w:r w:rsidRPr="00B7014C">
              <w:rPr>
                <w:color w:val="000000"/>
                <w:sz w:val="20"/>
                <w:szCs w:val="20"/>
                <w:lang w:eastAsia="en-GB"/>
              </w:rPr>
              <w:t>2,408</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207FD7" w:rsidRDefault="0085691D" w14:paraId="0140977F" w14:textId="08973C8E">
            <w:pPr>
              <w:jc w:val="center"/>
              <w:rPr>
                <w:color w:val="000000"/>
                <w:sz w:val="20"/>
                <w:szCs w:val="20"/>
                <w:lang w:eastAsia="en-GB"/>
              </w:rPr>
            </w:pPr>
            <w:r w:rsidRPr="00B7014C">
              <w:rPr>
                <w:color w:val="000000"/>
                <w:sz w:val="20"/>
                <w:szCs w:val="20"/>
                <w:lang w:eastAsia="en-GB"/>
              </w:rPr>
              <w:t>Jan</w:t>
            </w:r>
            <w:r w:rsidRPr="00B7014C" w:rsidR="00207FD7">
              <w:rPr>
                <w:color w:val="000000"/>
                <w:sz w:val="20"/>
                <w:szCs w:val="20"/>
                <w:lang w:eastAsia="en-GB"/>
              </w:rPr>
              <w:t>-</w:t>
            </w:r>
            <w:r w:rsidRPr="00B7014C">
              <w:rPr>
                <w:color w:val="000000"/>
                <w:sz w:val="20"/>
                <w:szCs w:val="20"/>
                <w:lang w:eastAsia="en-GB"/>
              </w:rPr>
              <w:t>12**</w:t>
            </w:r>
          </w:p>
        </w:tc>
        <w:tc>
          <w:tcPr>
            <w:tcW w:w="15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2600841B" w14:textId="77777777">
            <w:pPr>
              <w:jc w:val="center"/>
              <w:rPr>
                <w:color w:val="000000"/>
                <w:sz w:val="20"/>
                <w:szCs w:val="20"/>
                <w:lang w:eastAsia="en-GB"/>
              </w:rPr>
            </w:pPr>
            <w:r w:rsidRPr="00B7014C">
              <w:rPr>
                <w:color w:val="000000"/>
                <w:sz w:val="20"/>
                <w:szCs w:val="20"/>
                <w:lang w:eastAsia="en-GB"/>
              </w:rPr>
              <w:t>1,716</w:t>
            </w:r>
          </w:p>
        </w:tc>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7CD8D6A6" w14:textId="77777777">
            <w:pPr>
              <w:jc w:val="center"/>
              <w:rPr>
                <w:color w:val="000000"/>
                <w:sz w:val="20"/>
                <w:szCs w:val="20"/>
                <w:lang w:eastAsia="en-GB"/>
              </w:rPr>
            </w:pPr>
            <w:r w:rsidRPr="00B7014C">
              <w:rPr>
                <w:color w:val="000000"/>
                <w:sz w:val="20"/>
                <w:szCs w:val="20"/>
                <w:lang w:eastAsia="en-GB"/>
              </w:rPr>
              <w:t>71.6%</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25AF97A7" w14:textId="77777777">
            <w:pPr>
              <w:jc w:val="center"/>
              <w:rPr>
                <w:color w:val="000000"/>
                <w:sz w:val="20"/>
                <w:szCs w:val="20"/>
                <w:lang w:eastAsia="en-GB"/>
              </w:rPr>
            </w:pPr>
            <w:r w:rsidRPr="00B7014C">
              <w:rPr>
                <w:color w:val="000000"/>
                <w:sz w:val="20"/>
                <w:szCs w:val="20"/>
                <w:lang w:eastAsia="en-GB"/>
              </w:rPr>
              <w:t>2,088</w:t>
            </w:r>
          </w:p>
        </w:tc>
      </w:tr>
      <w:tr w:rsidRPr="00B7014C" w:rsidR="00207FD7" w:rsidTr="006619FE" w14:paraId="5F61AF82" w14:textId="77777777">
        <w:trPr>
          <w:trHeight w:val="315"/>
        </w:trPr>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779291E1" w14:textId="77777777">
            <w:pPr>
              <w:jc w:val="center"/>
              <w:rPr>
                <w:color w:val="000000"/>
                <w:sz w:val="20"/>
                <w:szCs w:val="20"/>
                <w:lang w:eastAsia="en-GB"/>
              </w:rPr>
            </w:pPr>
            <w:r w:rsidRPr="00B7014C">
              <w:rPr>
                <w:color w:val="000000"/>
                <w:sz w:val="20"/>
                <w:szCs w:val="20"/>
                <w:lang w:eastAsia="en-GB"/>
              </w:rPr>
              <w:t>May-12</w:t>
            </w:r>
          </w:p>
        </w:tc>
        <w:tc>
          <w:tcPr>
            <w:tcW w:w="9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4CF36E88" w14:textId="77777777">
            <w:pPr>
              <w:jc w:val="center"/>
              <w:rPr>
                <w:color w:val="000000"/>
                <w:sz w:val="20"/>
                <w:szCs w:val="20"/>
                <w:lang w:eastAsia="en-GB"/>
              </w:rPr>
            </w:pPr>
            <w:r w:rsidRPr="00B7014C">
              <w:rPr>
                <w:color w:val="000000"/>
                <w:sz w:val="20"/>
                <w:szCs w:val="20"/>
                <w:lang w:eastAsia="en-GB"/>
              </w:rPr>
              <w:t>2,333</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31E432BF" w14:textId="77777777">
            <w:pPr>
              <w:jc w:val="center"/>
              <w:rPr>
                <w:color w:val="000000"/>
                <w:sz w:val="20"/>
                <w:szCs w:val="20"/>
                <w:lang w:eastAsia="en-GB"/>
              </w:rPr>
            </w:pPr>
            <w:r w:rsidRPr="00B7014C">
              <w:rPr>
                <w:color w:val="000000"/>
                <w:sz w:val="20"/>
                <w:szCs w:val="20"/>
                <w:lang w:eastAsia="en-GB"/>
              </w:rPr>
              <w:t>Oct-12</w:t>
            </w:r>
          </w:p>
        </w:tc>
        <w:tc>
          <w:tcPr>
            <w:tcW w:w="15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1A7B8CFA" w14:textId="77777777">
            <w:pPr>
              <w:jc w:val="center"/>
              <w:rPr>
                <w:color w:val="000000"/>
                <w:sz w:val="20"/>
                <w:szCs w:val="20"/>
                <w:lang w:eastAsia="en-GB"/>
              </w:rPr>
            </w:pPr>
            <w:r w:rsidRPr="00B7014C">
              <w:rPr>
                <w:color w:val="000000"/>
                <w:sz w:val="20"/>
                <w:szCs w:val="20"/>
                <w:lang w:eastAsia="en-GB"/>
              </w:rPr>
              <w:t>1,559</w:t>
            </w:r>
          </w:p>
        </w:tc>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10DC0028" w14:textId="77777777">
            <w:pPr>
              <w:jc w:val="center"/>
              <w:rPr>
                <w:color w:val="000000"/>
                <w:sz w:val="20"/>
                <w:szCs w:val="20"/>
                <w:lang w:eastAsia="en-GB"/>
              </w:rPr>
            </w:pPr>
            <w:r w:rsidRPr="00B7014C">
              <w:rPr>
                <w:color w:val="000000"/>
                <w:sz w:val="20"/>
                <w:szCs w:val="20"/>
                <w:lang w:eastAsia="en-GB"/>
              </w:rPr>
              <w:t>67.4%</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62FEADE2" w14:textId="77777777">
            <w:pPr>
              <w:jc w:val="center"/>
              <w:rPr>
                <w:color w:val="000000"/>
                <w:sz w:val="20"/>
                <w:szCs w:val="20"/>
                <w:lang w:eastAsia="en-GB"/>
              </w:rPr>
            </w:pPr>
            <w:r w:rsidRPr="00B7014C">
              <w:rPr>
                <w:color w:val="000000"/>
                <w:sz w:val="20"/>
                <w:szCs w:val="20"/>
                <w:lang w:eastAsia="en-GB"/>
              </w:rPr>
              <w:t>1,861</w:t>
            </w:r>
          </w:p>
        </w:tc>
      </w:tr>
      <w:tr w:rsidRPr="00B7014C" w:rsidR="00207FD7" w:rsidTr="006619FE" w14:paraId="69705290" w14:textId="77777777">
        <w:trPr>
          <w:trHeight w:val="315"/>
        </w:trPr>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41970A75" w14:textId="77777777">
            <w:pPr>
              <w:jc w:val="center"/>
              <w:rPr>
                <w:color w:val="000000"/>
                <w:sz w:val="20"/>
                <w:szCs w:val="20"/>
                <w:lang w:eastAsia="en-GB"/>
              </w:rPr>
            </w:pPr>
            <w:r w:rsidRPr="00B7014C">
              <w:rPr>
                <w:color w:val="000000"/>
                <w:sz w:val="20"/>
                <w:szCs w:val="20"/>
                <w:lang w:eastAsia="en-GB"/>
              </w:rPr>
              <w:t>May-13</w:t>
            </w:r>
          </w:p>
        </w:tc>
        <w:tc>
          <w:tcPr>
            <w:tcW w:w="9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5A790A7C" w14:textId="77777777">
            <w:pPr>
              <w:jc w:val="center"/>
              <w:rPr>
                <w:color w:val="000000"/>
                <w:sz w:val="20"/>
                <w:szCs w:val="20"/>
                <w:lang w:eastAsia="en-GB"/>
              </w:rPr>
            </w:pPr>
            <w:r w:rsidRPr="00B7014C">
              <w:rPr>
                <w:color w:val="000000"/>
                <w:sz w:val="20"/>
                <w:szCs w:val="20"/>
                <w:lang w:eastAsia="en-GB"/>
              </w:rPr>
              <w:t>2,395</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70942B09" w14:textId="77777777">
            <w:pPr>
              <w:jc w:val="center"/>
              <w:rPr>
                <w:color w:val="000000"/>
                <w:sz w:val="20"/>
                <w:szCs w:val="20"/>
                <w:lang w:eastAsia="en-GB"/>
              </w:rPr>
            </w:pPr>
            <w:r w:rsidRPr="00B7014C">
              <w:rPr>
                <w:color w:val="000000"/>
                <w:sz w:val="20"/>
                <w:szCs w:val="20"/>
                <w:lang w:eastAsia="en-GB"/>
              </w:rPr>
              <w:t>Oct-13</w:t>
            </w:r>
          </w:p>
        </w:tc>
        <w:tc>
          <w:tcPr>
            <w:tcW w:w="15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7F43D900" w14:textId="77777777">
            <w:pPr>
              <w:jc w:val="center"/>
              <w:rPr>
                <w:color w:val="000000"/>
                <w:sz w:val="20"/>
                <w:szCs w:val="20"/>
                <w:lang w:eastAsia="en-GB"/>
              </w:rPr>
            </w:pPr>
            <w:r w:rsidRPr="00B7014C">
              <w:rPr>
                <w:color w:val="000000"/>
                <w:sz w:val="20"/>
                <w:szCs w:val="20"/>
                <w:lang w:eastAsia="en-GB"/>
              </w:rPr>
              <w:t>1,592</w:t>
            </w:r>
          </w:p>
        </w:tc>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68E8C205" w14:textId="77777777">
            <w:pPr>
              <w:jc w:val="center"/>
              <w:rPr>
                <w:color w:val="000000"/>
                <w:sz w:val="20"/>
                <w:szCs w:val="20"/>
                <w:lang w:eastAsia="en-GB"/>
              </w:rPr>
            </w:pPr>
            <w:r w:rsidRPr="00B7014C">
              <w:rPr>
                <w:color w:val="000000"/>
                <w:sz w:val="20"/>
                <w:szCs w:val="20"/>
                <w:lang w:eastAsia="en-GB"/>
              </w:rPr>
              <w:t>67.1%</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44681EBF" w14:textId="77777777">
            <w:pPr>
              <w:jc w:val="center"/>
              <w:rPr>
                <w:color w:val="000000"/>
                <w:sz w:val="20"/>
                <w:szCs w:val="20"/>
                <w:lang w:eastAsia="en-GB"/>
              </w:rPr>
            </w:pPr>
            <w:r w:rsidRPr="00B7014C">
              <w:rPr>
                <w:color w:val="000000"/>
                <w:sz w:val="20"/>
                <w:szCs w:val="20"/>
                <w:lang w:eastAsia="en-GB"/>
              </w:rPr>
              <w:t>1,980</w:t>
            </w:r>
          </w:p>
        </w:tc>
      </w:tr>
      <w:tr w:rsidRPr="00B7014C" w:rsidR="00207FD7" w:rsidTr="006619FE" w14:paraId="0A7E0B5E" w14:textId="77777777">
        <w:trPr>
          <w:trHeight w:val="315"/>
        </w:trPr>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151C3B9A" w14:textId="77777777">
            <w:pPr>
              <w:jc w:val="center"/>
              <w:rPr>
                <w:color w:val="000000"/>
                <w:sz w:val="20"/>
                <w:szCs w:val="20"/>
                <w:lang w:eastAsia="en-GB"/>
              </w:rPr>
            </w:pPr>
            <w:r w:rsidRPr="00B7014C">
              <w:rPr>
                <w:color w:val="000000"/>
                <w:sz w:val="20"/>
                <w:szCs w:val="20"/>
                <w:lang w:eastAsia="en-GB"/>
              </w:rPr>
              <w:t>May-14</w:t>
            </w:r>
          </w:p>
        </w:tc>
        <w:tc>
          <w:tcPr>
            <w:tcW w:w="9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77273BE3" w14:textId="77777777">
            <w:pPr>
              <w:jc w:val="center"/>
              <w:rPr>
                <w:color w:val="000000"/>
                <w:sz w:val="20"/>
                <w:szCs w:val="20"/>
                <w:lang w:eastAsia="en-GB"/>
              </w:rPr>
            </w:pPr>
            <w:r w:rsidRPr="00B7014C">
              <w:rPr>
                <w:color w:val="000000"/>
                <w:sz w:val="20"/>
                <w:szCs w:val="20"/>
                <w:lang w:eastAsia="en-GB"/>
              </w:rPr>
              <w:t>2,545</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37317577" w14:textId="77777777">
            <w:pPr>
              <w:jc w:val="center"/>
              <w:rPr>
                <w:color w:val="000000"/>
                <w:sz w:val="20"/>
                <w:szCs w:val="20"/>
                <w:lang w:eastAsia="en-GB"/>
              </w:rPr>
            </w:pPr>
            <w:r w:rsidRPr="00B7014C">
              <w:rPr>
                <w:color w:val="000000"/>
                <w:sz w:val="20"/>
                <w:szCs w:val="20"/>
                <w:lang w:eastAsia="en-GB"/>
              </w:rPr>
              <w:t>Oct-14</w:t>
            </w:r>
          </w:p>
        </w:tc>
        <w:tc>
          <w:tcPr>
            <w:tcW w:w="15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7F7435C3" w14:textId="77777777">
            <w:pPr>
              <w:jc w:val="center"/>
              <w:rPr>
                <w:color w:val="000000"/>
                <w:sz w:val="20"/>
                <w:szCs w:val="20"/>
                <w:lang w:eastAsia="en-GB"/>
              </w:rPr>
            </w:pPr>
            <w:r w:rsidRPr="00B7014C">
              <w:rPr>
                <w:color w:val="000000"/>
                <w:sz w:val="20"/>
                <w:szCs w:val="20"/>
                <w:lang w:eastAsia="en-GB"/>
              </w:rPr>
              <w:t>1,697</w:t>
            </w:r>
          </w:p>
        </w:tc>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283F6A62" w14:textId="77777777">
            <w:pPr>
              <w:jc w:val="center"/>
              <w:rPr>
                <w:color w:val="000000"/>
                <w:sz w:val="20"/>
                <w:szCs w:val="20"/>
                <w:lang w:eastAsia="en-GB"/>
              </w:rPr>
            </w:pPr>
            <w:r w:rsidRPr="00B7014C">
              <w:rPr>
                <w:color w:val="000000"/>
                <w:sz w:val="20"/>
                <w:szCs w:val="20"/>
                <w:lang w:eastAsia="en-GB"/>
              </w:rPr>
              <w:t>66.7%</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23E104B3" w14:textId="77777777">
            <w:pPr>
              <w:jc w:val="center"/>
              <w:rPr>
                <w:color w:val="000000"/>
                <w:sz w:val="20"/>
                <w:szCs w:val="20"/>
                <w:lang w:eastAsia="en-GB"/>
              </w:rPr>
            </w:pPr>
            <w:r w:rsidRPr="00B7014C">
              <w:rPr>
                <w:color w:val="000000"/>
                <w:sz w:val="20"/>
                <w:szCs w:val="20"/>
                <w:lang w:eastAsia="en-GB"/>
              </w:rPr>
              <w:t>2,172</w:t>
            </w:r>
          </w:p>
        </w:tc>
      </w:tr>
      <w:tr w:rsidRPr="00B7014C" w:rsidR="00207FD7" w:rsidTr="006619FE" w14:paraId="7C26D4E3" w14:textId="77777777">
        <w:trPr>
          <w:trHeight w:val="315"/>
        </w:trPr>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2086BB70" w14:textId="77777777">
            <w:pPr>
              <w:jc w:val="center"/>
              <w:rPr>
                <w:color w:val="000000"/>
                <w:sz w:val="20"/>
                <w:szCs w:val="20"/>
                <w:lang w:eastAsia="en-GB"/>
              </w:rPr>
            </w:pPr>
            <w:r w:rsidRPr="00B7014C">
              <w:rPr>
                <w:color w:val="000000"/>
                <w:sz w:val="20"/>
                <w:szCs w:val="20"/>
                <w:lang w:eastAsia="en-GB"/>
              </w:rPr>
              <w:t>May-15</w:t>
            </w:r>
          </w:p>
        </w:tc>
        <w:tc>
          <w:tcPr>
            <w:tcW w:w="9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6BD18A8E" w14:textId="77777777">
            <w:pPr>
              <w:jc w:val="center"/>
              <w:rPr>
                <w:color w:val="000000"/>
                <w:sz w:val="20"/>
                <w:szCs w:val="20"/>
                <w:lang w:eastAsia="en-GB"/>
              </w:rPr>
            </w:pPr>
            <w:r w:rsidRPr="00B7014C">
              <w:rPr>
                <w:color w:val="000000"/>
                <w:sz w:val="20"/>
                <w:szCs w:val="20"/>
                <w:lang w:eastAsia="en-GB"/>
              </w:rPr>
              <w:t>2,597</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60BD65BE" w14:textId="77777777">
            <w:pPr>
              <w:jc w:val="center"/>
              <w:rPr>
                <w:color w:val="000000"/>
                <w:sz w:val="20"/>
                <w:szCs w:val="20"/>
                <w:lang w:eastAsia="en-GB"/>
              </w:rPr>
            </w:pPr>
            <w:r w:rsidRPr="00B7014C">
              <w:rPr>
                <w:color w:val="000000"/>
                <w:sz w:val="20"/>
                <w:szCs w:val="20"/>
                <w:lang w:eastAsia="en-GB"/>
              </w:rPr>
              <w:t>Oct-15</w:t>
            </w:r>
          </w:p>
        </w:tc>
        <w:tc>
          <w:tcPr>
            <w:tcW w:w="15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5CF5031D" w14:textId="77777777">
            <w:pPr>
              <w:jc w:val="center"/>
              <w:rPr>
                <w:color w:val="000000"/>
                <w:sz w:val="20"/>
                <w:szCs w:val="20"/>
                <w:lang w:eastAsia="en-GB"/>
              </w:rPr>
            </w:pPr>
            <w:r w:rsidRPr="00B7014C">
              <w:rPr>
                <w:color w:val="000000"/>
                <w:sz w:val="20"/>
                <w:szCs w:val="20"/>
                <w:lang w:eastAsia="en-GB"/>
              </w:rPr>
              <w:t>1,721</w:t>
            </w:r>
          </w:p>
        </w:tc>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3E854840" w14:textId="77777777">
            <w:pPr>
              <w:jc w:val="center"/>
              <w:rPr>
                <w:color w:val="000000"/>
                <w:sz w:val="20"/>
                <w:szCs w:val="20"/>
                <w:lang w:eastAsia="en-GB"/>
              </w:rPr>
            </w:pPr>
            <w:r w:rsidRPr="00B7014C">
              <w:rPr>
                <w:color w:val="000000"/>
                <w:sz w:val="20"/>
                <w:szCs w:val="20"/>
                <w:lang w:eastAsia="en-GB"/>
              </w:rPr>
              <w:t>66.3%</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1A319B7D" w14:textId="77777777">
            <w:pPr>
              <w:jc w:val="center"/>
              <w:rPr>
                <w:color w:val="000000"/>
                <w:sz w:val="20"/>
                <w:szCs w:val="20"/>
                <w:lang w:eastAsia="en-GB"/>
              </w:rPr>
            </w:pPr>
            <w:r w:rsidRPr="00B7014C">
              <w:rPr>
                <w:color w:val="000000"/>
                <w:sz w:val="20"/>
                <w:szCs w:val="20"/>
                <w:lang w:eastAsia="en-GB"/>
              </w:rPr>
              <w:t>2,198</w:t>
            </w:r>
          </w:p>
        </w:tc>
      </w:tr>
      <w:tr w:rsidRPr="00B7014C" w:rsidR="00207FD7" w:rsidTr="006619FE" w14:paraId="1D0A47B3" w14:textId="77777777">
        <w:trPr>
          <w:trHeight w:val="315"/>
        </w:trPr>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78C1F76E" w14:textId="77777777">
            <w:pPr>
              <w:jc w:val="center"/>
              <w:rPr>
                <w:color w:val="000000"/>
                <w:sz w:val="20"/>
                <w:szCs w:val="20"/>
                <w:lang w:eastAsia="en-GB"/>
              </w:rPr>
            </w:pPr>
            <w:r w:rsidRPr="00B7014C">
              <w:rPr>
                <w:color w:val="000000"/>
                <w:sz w:val="20"/>
                <w:szCs w:val="20"/>
                <w:lang w:eastAsia="en-GB"/>
              </w:rPr>
              <w:t>May-16</w:t>
            </w:r>
          </w:p>
        </w:tc>
        <w:tc>
          <w:tcPr>
            <w:tcW w:w="9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443E379D" w14:textId="77777777">
            <w:pPr>
              <w:jc w:val="center"/>
              <w:rPr>
                <w:color w:val="000000"/>
                <w:sz w:val="20"/>
                <w:szCs w:val="20"/>
                <w:lang w:eastAsia="en-GB"/>
              </w:rPr>
            </w:pPr>
            <w:r w:rsidRPr="00B7014C">
              <w:rPr>
                <w:color w:val="000000"/>
                <w:sz w:val="20"/>
                <w:szCs w:val="20"/>
                <w:lang w:eastAsia="en-GB"/>
              </w:rPr>
              <w:t>2,711</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21E8573B" w14:textId="77777777">
            <w:pPr>
              <w:jc w:val="center"/>
              <w:rPr>
                <w:color w:val="000000"/>
                <w:sz w:val="20"/>
                <w:szCs w:val="20"/>
                <w:lang w:eastAsia="en-GB"/>
              </w:rPr>
            </w:pPr>
            <w:r w:rsidRPr="00B7014C">
              <w:rPr>
                <w:color w:val="000000"/>
                <w:sz w:val="20"/>
                <w:szCs w:val="20"/>
                <w:lang w:eastAsia="en-GB"/>
              </w:rPr>
              <w:t>Oct-16</w:t>
            </w:r>
          </w:p>
        </w:tc>
        <w:tc>
          <w:tcPr>
            <w:tcW w:w="15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69673A10" w14:textId="77777777">
            <w:pPr>
              <w:jc w:val="center"/>
              <w:rPr>
                <w:color w:val="000000"/>
                <w:sz w:val="20"/>
                <w:szCs w:val="20"/>
                <w:lang w:eastAsia="en-GB"/>
              </w:rPr>
            </w:pPr>
            <w:r w:rsidRPr="00B7014C">
              <w:rPr>
                <w:color w:val="000000"/>
                <w:sz w:val="20"/>
                <w:szCs w:val="20"/>
                <w:lang w:eastAsia="en-GB"/>
              </w:rPr>
              <w:t>1,783</w:t>
            </w:r>
          </w:p>
        </w:tc>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382B6A87" w14:textId="77777777">
            <w:pPr>
              <w:jc w:val="center"/>
              <w:rPr>
                <w:color w:val="000000"/>
                <w:sz w:val="20"/>
                <w:szCs w:val="20"/>
                <w:lang w:eastAsia="en-GB"/>
              </w:rPr>
            </w:pPr>
            <w:r w:rsidRPr="00B7014C">
              <w:rPr>
                <w:color w:val="000000"/>
                <w:sz w:val="20"/>
                <w:szCs w:val="20"/>
                <w:lang w:eastAsia="en-GB"/>
              </w:rPr>
              <w:t>65.8%</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74A29A67" w14:textId="77777777">
            <w:pPr>
              <w:jc w:val="center"/>
              <w:rPr>
                <w:color w:val="000000"/>
                <w:sz w:val="20"/>
                <w:szCs w:val="20"/>
                <w:lang w:eastAsia="en-GB"/>
              </w:rPr>
            </w:pPr>
            <w:r w:rsidRPr="00B7014C">
              <w:rPr>
                <w:color w:val="000000"/>
                <w:sz w:val="20"/>
                <w:szCs w:val="20"/>
                <w:lang w:eastAsia="en-GB"/>
              </w:rPr>
              <w:t>2,371</w:t>
            </w:r>
          </w:p>
        </w:tc>
      </w:tr>
      <w:tr w:rsidRPr="00B7014C" w:rsidR="00207FD7" w:rsidTr="006619FE" w14:paraId="3E522915" w14:textId="77777777">
        <w:trPr>
          <w:trHeight w:val="315"/>
        </w:trPr>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2E6D4F42" w14:textId="77777777">
            <w:pPr>
              <w:jc w:val="center"/>
              <w:rPr>
                <w:color w:val="000000"/>
                <w:sz w:val="20"/>
                <w:szCs w:val="20"/>
                <w:lang w:eastAsia="en-GB"/>
              </w:rPr>
            </w:pPr>
            <w:r w:rsidRPr="00B7014C">
              <w:rPr>
                <w:color w:val="000000"/>
                <w:sz w:val="20"/>
                <w:szCs w:val="20"/>
                <w:lang w:eastAsia="en-GB"/>
              </w:rPr>
              <w:t>May-17</w:t>
            </w:r>
          </w:p>
        </w:tc>
        <w:tc>
          <w:tcPr>
            <w:tcW w:w="9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3286576B" w14:textId="77777777">
            <w:pPr>
              <w:jc w:val="center"/>
              <w:rPr>
                <w:color w:val="000000"/>
                <w:sz w:val="20"/>
                <w:szCs w:val="20"/>
                <w:lang w:eastAsia="en-GB"/>
              </w:rPr>
            </w:pPr>
            <w:r w:rsidRPr="00B7014C">
              <w:rPr>
                <w:color w:val="000000"/>
                <w:sz w:val="20"/>
                <w:szCs w:val="20"/>
                <w:lang w:eastAsia="en-GB"/>
              </w:rPr>
              <w:t>2,761</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66D45F70" w14:textId="77777777">
            <w:pPr>
              <w:jc w:val="center"/>
              <w:rPr>
                <w:color w:val="000000"/>
                <w:sz w:val="20"/>
                <w:szCs w:val="20"/>
                <w:lang w:eastAsia="en-GB"/>
              </w:rPr>
            </w:pPr>
            <w:r w:rsidRPr="00B7014C">
              <w:rPr>
                <w:color w:val="000000"/>
                <w:sz w:val="20"/>
                <w:szCs w:val="20"/>
                <w:lang w:eastAsia="en-GB"/>
              </w:rPr>
              <w:t>Oct-17</w:t>
            </w:r>
          </w:p>
        </w:tc>
        <w:tc>
          <w:tcPr>
            <w:tcW w:w="15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7C5E3509" w14:textId="77777777">
            <w:pPr>
              <w:jc w:val="center"/>
              <w:rPr>
                <w:color w:val="000000"/>
                <w:sz w:val="20"/>
                <w:szCs w:val="20"/>
                <w:lang w:eastAsia="en-GB"/>
              </w:rPr>
            </w:pPr>
            <w:r w:rsidRPr="00B7014C">
              <w:rPr>
                <w:color w:val="000000"/>
                <w:sz w:val="20"/>
                <w:szCs w:val="20"/>
                <w:lang w:eastAsia="en-GB"/>
              </w:rPr>
              <w:t>1,844</w:t>
            </w:r>
          </w:p>
        </w:tc>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452582F2" w14:textId="77777777">
            <w:pPr>
              <w:jc w:val="center"/>
              <w:rPr>
                <w:color w:val="000000"/>
                <w:sz w:val="20"/>
                <w:szCs w:val="20"/>
                <w:lang w:eastAsia="en-GB"/>
              </w:rPr>
            </w:pPr>
            <w:r w:rsidRPr="00B7014C">
              <w:rPr>
                <w:color w:val="000000"/>
                <w:sz w:val="20"/>
                <w:szCs w:val="20"/>
                <w:lang w:eastAsia="en-GB"/>
              </w:rPr>
              <w:t>66.7%</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4B1D4E50" w14:textId="77777777">
            <w:pPr>
              <w:jc w:val="center"/>
              <w:rPr>
                <w:color w:val="000000"/>
                <w:sz w:val="20"/>
                <w:szCs w:val="20"/>
                <w:lang w:eastAsia="en-GB"/>
              </w:rPr>
            </w:pPr>
            <w:r w:rsidRPr="00B7014C">
              <w:rPr>
                <w:color w:val="000000"/>
                <w:sz w:val="20"/>
                <w:szCs w:val="20"/>
                <w:lang w:eastAsia="en-GB"/>
              </w:rPr>
              <w:t>2,348</w:t>
            </w:r>
          </w:p>
        </w:tc>
      </w:tr>
      <w:tr w:rsidRPr="00B7014C" w:rsidR="00207FD7" w:rsidTr="006619FE" w14:paraId="427F4C3E" w14:textId="77777777">
        <w:trPr>
          <w:trHeight w:val="315"/>
        </w:trPr>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70FED22F" w14:textId="77777777">
            <w:pPr>
              <w:jc w:val="center"/>
              <w:rPr>
                <w:color w:val="000000"/>
                <w:sz w:val="20"/>
                <w:szCs w:val="20"/>
                <w:lang w:eastAsia="en-GB"/>
              </w:rPr>
            </w:pPr>
            <w:r w:rsidRPr="00B7014C">
              <w:rPr>
                <w:color w:val="000000"/>
                <w:sz w:val="20"/>
                <w:szCs w:val="20"/>
                <w:lang w:eastAsia="en-GB"/>
              </w:rPr>
              <w:t>May-18</w:t>
            </w:r>
          </w:p>
        </w:tc>
        <w:tc>
          <w:tcPr>
            <w:tcW w:w="9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7AD240D1" w14:textId="77777777">
            <w:pPr>
              <w:jc w:val="center"/>
              <w:rPr>
                <w:color w:val="000000"/>
                <w:sz w:val="20"/>
                <w:szCs w:val="20"/>
                <w:lang w:eastAsia="en-GB"/>
              </w:rPr>
            </w:pPr>
            <w:r w:rsidRPr="00B7014C">
              <w:rPr>
                <w:color w:val="000000"/>
                <w:sz w:val="20"/>
                <w:szCs w:val="20"/>
                <w:lang w:eastAsia="en-GB"/>
              </w:rPr>
              <w:t>2,791</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6F0D99C5" w14:textId="77777777">
            <w:pPr>
              <w:jc w:val="center"/>
              <w:rPr>
                <w:color w:val="000000"/>
                <w:sz w:val="20"/>
                <w:szCs w:val="20"/>
                <w:lang w:eastAsia="en-GB"/>
              </w:rPr>
            </w:pPr>
            <w:r w:rsidRPr="00B7014C">
              <w:rPr>
                <w:color w:val="000000"/>
                <w:sz w:val="20"/>
                <w:szCs w:val="20"/>
                <w:lang w:eastAsia="en-GB"/>
              </w:rPr>
              <w:t>Oct-18</w:t>
            </w:r>
          </w:p>
        </w:tc>
        <w:tc>
          <w:tcPr>
            <w:tcW w:w="15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77D1008A" w14:textId="77777777">
            <w:pPr>
              <w:jc w:val="center"/>
              <w:rPr>
                <w:color w:val="000000"/>
                <w:sz w:val="20"/>
                <w:szCs w:val="20"/>
                <w:lang w:eastAsia="en-GB"/>
              </w:rPr>
            </w:pPr>
            <w:r w:rsidRPr="00B7014C">
              <w:rPr>
                <w:color w:val="000000"/>
                <w:sz w:val="20"/>
                <w:szCs w:val="20"/>
                <w:lang w:eastAsia="en-GB"/>
              </w:rPr>
              <w:t>1,892</w:t>
            </w:r>
          </w:p>
        </w:tc>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280EB694" w14:textId="77777777">
            <w:pPr>
              <w:jc w:val="center"/>
              <w:rPr>
                <w:color w:val="000000"/>
                <w:sz w:val="20"/>
                <w:szCs w:val="20"/>
                <w:lang w:eastAsia="en-GB"/>
              </w:rPr>
            </w:pPr>
            <w:r w:rsidRPr="00B7014C">
              <w:rPr>
                <w:color w:val="000000"/>
                <w:sz w:val="20"/>
                <w:szCs w:val="20"/>
                <w:lang w:eastAsia="en-GB"/>
              </w:rPr>
              <w:t>67.8%</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577F1CC3" w14:textId="77777777">
            <w:pPr>
              <w:jc w:val="center"/>
              <w:rPr>
                <w:color w:val="000000"/>
                <w:sz w:val="20"/>
                <w:szCs w:val="20"/>
                <w:lang w:eastAsia="en-GB"/>
              </w:rPr>
            </w:pPr>
            <w:r w:rsidRPr="00B7014C">
              <w:rPr>
                <w:color w:val="000000"/>
                <w:sz w:val="20"/>
                <w:szCs w:val="20"/>
                <w:lang w:eastAsia="en-GB"/>
              </w:rPr>
              <w:t>2,512</w:t>
            </w:r>
          </w:p>
        </w:tc>
      </w:tr>
      <w:tr w:rsidRPr="00B7014C" w:rsidR="00207FD7" w:rsidTr="006619FE" w14:paraId="59CD46C2" w14:textId="77777777">
        <w:trPr>
          <w:trHeight w:val="315"/>
        </w:trPr>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289CB37A" w14:textId="77777777">
            <w:pPr>
              <w:jc w:val="center"/>
              <w:rPr>
                <w:color w:val="000000"/>
                <w:sz w:val="20"/>
                <w:szCs w:val="20"/>
                <w:lang w:eastAsia="en-GB"/>
              </w:rPr>
            </w:pPr>
            <w:r w:rsidRPr="00B7014C">
              <w:rPr>
                <w:color w:val="000000"/>
                <w:sz w:val="20"/>
                <w:szCs w:val="20"/>
                <w:lang w:eastAsia="en-GB"/>
              </w:rPr>
              <w:t>May-19</w:t>
            </w:r>
          </w:p>
        </w:tc>
        <w:tc>
          <w:tcPr>
            <w:tcW w:w="9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1E9E17B4" w14:textId="77777777">
            <w:pPr>
              <w:jc w:val="center"/>
              <w:rPr>
                <w:color w:val="000000"/>
                <w:sz w:val="20"/>
                <w:szCs w:val="20"/>
                <w:lang w:eastAsia="en-GB"/>
              </w:rPr>
            </w:pPr>
            <w:r w:rsidRPr="00B7014C">
              <w:rPr>
                <w:color w:val="000000"/>
                <w:sz w:val="20"/>
                <w:szCs w:val="20"/>
                <w:lang w:eastAsia="en-GB"/>
              </w:rPr>
              <w:t>2,972</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7014C" w:rsidR="0085691D" w:rsidP="0085691D" w:rsidRDefault="0085691D" w14:paraId="320019B3" w14:textId="77777777">
            <w:pPr>
              <w:jc w:val="center"/>
              <w:rPr>
                <w:color w:val="000000"/>
                <w:sz w:val="20"/>
                <w:szCs w:val="20"/>
                <w:lang w:eastAsia="en-GB"/>
              </w:rPr>
            </w:pPr>
            <w:r w:rsidRPr="00B7014C">
              <w:rPr>
                <w:color w:val="000000"/>
                <w:sz w:val="20"/>
                <w:szCs w:val="20"/>
                <w:lang w:eastAsia="en-GB"/>
              </w:rPr>
              <w:t>Oct-19</w:t>
            </w:r>
          </w:p>
        </w:tc>
        <w:tc>
          <w:tcPr>
            <w:tcW w:w="15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48E6C28A" w14:textId="77777777">
            <w:pPr>
              <w:jc w:val="center"/>
              <w:rPr>
                <w:color w:val="000000"/>
                <w:sz w:val="20"/>
                <w:szCs w:val="20"/>
                <w:lang w:eastAsia="en-GB"/>
              </w:rPr>
            </w:pPr>
            <w:r w:rsidRPr="00B7014C">
              <w:rPr>
                <w:color w:val="000000"/>
                <w:sz w:val="20"/>
                <w:szCs w:val="20"/>
                <w:lang w:eastAsia="en-GB"/>
              </w:rPr>
              <w:t>2,072</w:t>
            </w:r>
          </w:p>
        </w:tc>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57C21228" w14:textId="77777777">
            <w:pPr>
              <w:jc w:val="center"/>
              <w:rPr>
                <w:color w:val="000000"/>
                <w:sz w:val="20"/>
                <w:szCs w:val="20"/>
                <w:lang w:eastAsia="en-GB"/>
              </w:rPr>
            </w:pPr>
            <w:r w:rsidRPr="00B7014C">
              <w:rPr>
                <w:color w:val="000000"/>
                <w:sz w:val="20"/>
                <w:szCs w:val="20"/>
                <w:lang w:eastAsia="en-GB"/>
              </w:rPr>
              <w:t>69.7%</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7014C" w:rsidR="0085691D" w:rsidP="0085691D" w:rsidRDefault="0085691D" w14:paraId="4B3F6332" w14:textId="77777777">
            <w:pPr>
              <w:jc w:val="center"/>
              <w:rPr>
                <w:color w:val="000000"/>
                <w:sz w:val="20"/>
                <w:szCs w:val="20"/>
                <w:lang w:eastAsia="en-GB"/>
              </w:rPr>
            </w:pPr>
            <w:r w:rsidRPr="00B7014C">
              <w:rPr>
                <w:color w:val="000000"/>
                <w:sz w:val="20"/>
                <w:szCs w:val="20"/>
                <w:lang w:eastAsia="en-GB"/>
              </w:rPr>
              <w:t>2,659</w:t>
            </w:r>
          </w:p>
        </w:tc>
      </w:tr>
      <w:tr w:rsidRPr="00B7014C" w:rsidR="0000397B" w:rsidTr="006619FE" w14:paraId="2D073299" w14:textId="77777777">
        <w:trPr>
          <w:trHeight w:val="315"/>
        </w:trPr>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B7014C" w:rsidR="0000397B" w:rsidP="0085691D" w:rsidRDefault="00A4764B" w14:paraId="3929929B" w14:textId="248292BA">
            <w:pPr>
              <w:jc w:val="center"/>
              <w:rPr>
                <w:color w:val="000000"/>
                <w:sz w:val="20"/>
                <w:szCs w:val="20"/>
                <w:lang w:eastAsia="en-GB"/>
              </w:rPr>
            </w:pPr>
            <w:r w:rsidRPr="00B7014C">
              <w:rPr>
                <w:color w:val="000000"/>
                <w:sz w:val="20"/>
                <w:szCs w:val="20"/>
                <w:lang w:eastAsia="en-GB"/>
              </w:rPr>
              <w:t>Jan</w:t>
            </w:r>
            <w:r w:rsidRPr="00B7014C" w:rsidR="0000397B">
              <w:rPr>
                <w:color w:val="000000"/>
                <w:sz w:val="20"/>
                <w:szCs w:val="20"/>
                <w:lang w:eastAsia="en-GB"/>
              </w:rPr>
              <w:t>-20</w:t>
            </w:r>
            <w:r w:rsidRPr="00B7014C" w:rsidR="007010CB">
              <w:rPr>
                <w:color w:val="000000"/>
                <w:sz w:val="20"/>
                <w:szCs w:val="20"/>
                <w:lang w:eastAsia="en-GB"/>
              </w:rPr>
              <w:t>***</w:t>
            </w:r>
          </w:p>
        </w:tc>
        <w:tc>
          <w:tcPr>
            <w:tcW w:w="944"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B7014C" w:rsidR="0000397B" w:rsidP="0085691D" w:rsidRDefault="008E1B6E" w14:paraId="0AEA0832" w14:textId="680838E7">
            <w:pPr>
              <w:jc w:val="center"/>
              <w:rPr>
                <w:color w:val="000000"/>
                <w:sz w:val="20"/>
                <w:szCs w:val="20"/>
                <w:lang w:eastAsia="en-GB"/>
              </w:rPr>
            </w:pPr>
            <w:r w:rsidRPr="00B7014C">
              <w:rPr>
                <w:color w:val="000000"/>
                <w:sz w:val="20"/>
                <w:szCs w:val="20"/>
                <w:lang w:eastAsia="en-GB"/>
              </w:rPr>
              <w:t>3,038</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tcPr>
          <w:p w:rsidRPr="00B7014C" w:rsidR="0000397B" w:rsidP="0085691D" w:rsidRDefault="0000397B" w14:paraId="4F492F5E" w14:textId="4BF4B6DC">
            <w:pPr>
              <w:jc w:val="center"/>
              <w:rPr>
                <w:color w:val="000000"/>
                <w:sz w:val="20"/>
                <w:szCs w:val="20"/>
                <w:lang w:eastAsia="en-GB"/>
              </w:rPr>
            </w:pPr>
            <w:r w:rsidRPr="00B7014C">
              <w:rPr>
                <w:color w:val="000000"/>
                <w:sz w:val="20"/>
                <w:szCs w:val="20"/>
                <w:lang w:eastAsia="en-GB"/>
              </w:rPr>
              <w:t>Oct-20</w:t>
            </w:r>
          </w:p>
        </w:tc>
        <w:tc>
          <w:tcPr>
            <w:tcW w:w="157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B7014C" w:rsidR="0000397B" w:rsidP="0085691D" w:rsidRDefault="00F47FE9" w14:paraId="45AB14BF" w14:textId="019C92C3">
            <w:pPr>
              <w:jc w:val="center"/>
              <w:rPr>
                <w:color w:val="000000"/>
                <w:sz w:val="20"/>
                <w:szCs w:val="20"/>
                <w:lang w:eastAsia="en-GB"/>
              </w:rPr>
            </w:pPr>
            <w:r w:rsidRPr="00B7014C">
              <w:rPr>
                <w:color w:val="000000"/>
                <w:sz w:val="20"/>
                <w:szCs w:val="20"/>
                <w:lang w:eastAsia="en-GB"/>
              </w:rPr>
              <w:t>2,088</w:t>
            </w:r>
          </w:p>
        </w:tc>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B7014C" w:rsidR="0000397B" w:rsidP="0085691D" w:rsidRDefault="00DA3632" w14:paraId="4F47B6EE" w14:textId="3D5EF113">
            <w:pPr>
              <w:jc w:val="center"/>
              <w:rPr>
                <w:color w:val="000000"/>
                <w:sz w:val="20"/>
                <w:szCs w:val="20"/>
                <w:lang w:eastAsia="en-GB"/>
              </w:rPr>
            </w:pPr>
            <w:r w:rsidRPr="00B7014C">
              <w:rPr>
                <w:color w:val="000000"/>
                <w:sz w:val="20"/>
                <w:szCs w:val="20"/>
                <w:lang w:eastAsia="en-GB"/>
              </w:rPr>
              <w:t>68.7%</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B7014C" w:rsidR="0000397B" w:rsidP="0085691D" w:rsidRDefault="00AA35CC" w14:paraId="0D41B69C" w14:textId="1683072E">
            <w:pPr>
              <w:jc w:val="center"/>
              <w:rPr>
                <w:color w:val="000000"/>
                <w:sz w:val="20"/>
                <w:szCs w:val="20"/>
                <w:lang w:eastAsia="en-GB"/>
              </w:rPr>
            </w:pPr>
            <w:r w:rsidRPr="00B7014C">
              <w:rPr>
                <w:color w:val="000000"/>
                <w:sz w:val="20"/>
                <w:szCs w:val="20"/>
                <w:lang w:eastAsia="en-GB"/>
              </w:rPr>
              <w:t>2,618</w:t>
            </w:r>
          </w:p>
        </w:tc>
      </w:tr>
    </w:tbl>
    <w:p w:rsidRPr="00B7014C" w:rsidR="00A16979" w:rsidP="00A16979" w:rsidRDefault="00A16979" w14:paraId="5634AA59" w14:textId="77777777">
      <w:pPr>
        <w:spacing w:after="20" w:line="300" w:lineRule="exact"/>
        <w:jc w:val="both"/>
        <w:rPr>
          <w:bCs/>
          <w:sz w:val="20"/>
          <w:szCs w:val="20"/>
        </w:rPr>
      </w:pPr>
      <w:r w:rsidRPr="00B7014C">
        <w:rPr>
          <w:bCs/>
          <w:sz w:val="20"/>
          <w:szCs w:val="20"/>
        </w:rPr>
        <w:t xml:space="preserve">*The numbers on roll do not include special school </w:t>
      </w:r>
      <w:proofErr w:type="gramStart"/>
      <w:r w:rsidRPr="00B7014C">
        <w:rPr>
          <w:bCs/>
          <w:sz w:val="20"/>
          <w:szCs w:val="20"/>
        </w:rPr>
        <w:t>pupils;</w:t>
      </w:r>
      <w:proofErr w:type="gramEnd"/>
    </w:p>
    <w:p w:rsidRPr="00B7014C" w:rsidR="00A16979" w:rsidP="00207FD7" w:rsidRDefault="00A16979" w14:paraId="3D7806A1" w14:textId="4043BB18">
      <w:pPr>
        <w:spacing w:line="300" w:lineRule="exact"/>
        <w:jc w:val="both"/>
        <w:rPr>
          <w:bCs/>
          <w:sz w:val="20"/>
          <w:szCs w:val="20"/>
        </w:rPr>
      </w:pPr>
      <w:r w:rsidRPr="00B7014C">
        <w:rPr>
          <w:bCs/>
          <w:sz w:val="20"/>
          <w:szCs w:val="20"/>
        </w:rPr>
        <w:t>**The October 2011 data was not available for Academies, so the January 2012 school census was used instead.</w:t>
      </w:r>
    </w:p>
    <w:p w:rsidRPr="00B7014C" w:rsidR="007010CB" w:rsidP="00207FD7" w:rsidRDefault="007010CB" w14:paraId="016D5EAD" w14:textId="738585D9">
      <w:pPr>
        <w:spacing w:line="300" w:lineRule="exact"/>
        <w:jc w:val="both"/>
        <w:rPr>
          <w:bCs/>
          <w:sz w:val="20"/>
          <w:szCs w:val="20"/>
        </w:rPr>
      </w:pPr>
      <w:r w:rsidRPr="00B7014C">
        <w:rPr>
          <w:bCs/>
          <w:sz w:val="20"/>
          <w:szCs w:val="20"/>
        </w:rPr>
        <w:t>***</w:t>
      </w:r>
      <w:r w:rsidRPr="00B7014C" w:rsidR="006E12B8">
        <w:rPr>
          <w:bCs/>
          <w:sz w:val="20"/>
          <w:szCs w:val="20"/>
        </w:rPr>
        <w:t>The May 2020 school census was not collected due to the Covid-19 pandemic.</w:t>
      </w:r>
    </w:p>
    <w:p w:rsidRPr="00B7014C" w:rsidR="00A16979" w:rsidP="00A16979" w:rsidRDefault="00A16979" w14:paraId="40A3105A" w14:textId="77777777">
      <w:pPr>
        <w:rPr>
          <w:sz w:val="16"/>
          <w:szCs w:val="16"/>
        </w:rPr>
      </w:pPr>
    </w:p>
    <w:p w:rsidRPr="00B7014C" w:rsidR="00A16979" w:rsidP="00A16979" w:rsidRDefault="00A16979" w14:paraId="4AB71992" w14:textId="65CF6623">
      <w:pPr>
        <w:rPr>
          <w:b/>
        </w:rPr>
      </w:pPr>
      <w:r w:rsidRPr="00B7014C">
        <w:rPr>
          <w:b/>
        </w:rPr>
        <w:t>Retention rate of Harrow secondary schools</w:t>
      </w:r>
    </w:p>
    <w:p w:rsidRPr="00B7014C" w:rsidR="00A16979" w:rsidP="00A16979" w:rsidRDefault="00A16979" w14:paraId="1EB6645C" w14:textId="06442D3F">
      <w:r w:rsidRPr="00B7014C">
        <w:t xml:space="preserve">The number of pupils in Year 7 in Harrow’s secondary schools in </w:t>
      </w:r>
      <w:r w:rsidRPr="00B7014C" w:rsidR="00B6798E">
        <w:t xml:space="preserve">October 2020 dropped to 2,618 from </w:t>
      </w:r>
      <w:r w:rsidRPr="00B7014C">
        <w:t>2,</w:t>
      </w:r>
      <w:r w:rsidRPr="00B7014C" w:rsidR="00F575A8">
        <w:t>659</w:t>
      </w:r>
      <w:r w:rsidRPr="00B7014C">
        <w:t xml:space="preserve"> in October 201</w:t>
      </w:r>
      <w:r w:rsidRPr="00B7014C" w:rsidR="00B6798E">
        <w:t>9</w:t>
      </w:r>
      <w:r w:rsidRPr="00B7014C">
        <w:t xml:space="preserve">. The retention rate is calculated as percentage by comparing </w:t>
      </w:r>
      <w:r w:rsidRPr="00B7014C" w:rsidR="009627B5">
        <w:t xml:space="preserve">the number of pupils on roll in Year 7 in the October census to that of to </w:t>
      </w:r>
      <w:r w:rsidRPr="00B7014C">
        <w:t xml:space="preserve">the </w:t>
      </w:r>
      <w:r w:rsidRPr="00B7014C" w:rsidR="009627B5">
        <w:t xml:space="preserve">number of </w:t>
      </w:r>
      <w:r w:rsidRPr="00B7014C">
        <w:t xml:space="preserve">pupils on roll </w:t>
      </w:r>
      <w:r w:rsidRPr="00B7014C" w:rsidR="009627B5">
        <w:t xml:space="preserve">in Year 6 </w:t>
      </w:r>
      <w:r w:rsidRPr="00B7014C">
        <w:t>in the May census.  The</w:t>
      </w:r>
      <w:r w:rsidRPr="00B7014C" w:rsidR="00AA44D1">
        <w:t xml:space="preserve"> retention rate </w:t>
      </w:r>
      <w:r w:rsidRPr="00B7014C">
        <w:t xml:space="preserve">of pupils that are on roll in Year </w:t>
      </w:r>
      <w:r w:rsidRPr="00B7014C" w:rsidR="00554960">
        <w:t>7</w:t>
      </w:r>
      <w:r w:rsidRPr="00B7014C">
        <w:t xml:space="preserve"> compared to pupils who are on roll in Year </w:t>
      </w:r>
      <w:r w:rsidRPr="00B7014C" w:rsidR="00554960">
        <w:t>6</w:t>
      </w:r>
      <w:r w:rsidRPr="00B7014C" w:rsidR="00AA44D1">
        <w:t xml:space="preserve"> has been over 85% during the last 6 years</w:t>
      </w:r>
      <w:r w:rsidRPr="00B7014C">
        <w:t>. In October 20</w:t>
      </w:r>
      <w:r w:rsidRPr="00B7014C" w:rsidR="001F1D37">
        <w:t>20</w:t>
      </w:r>
      <w:r w:rsidRPr="00B7014C">
        <w:t xml:space="preserve"> there were 2,</w:t>
      </w:r>
      <w:r w:rsidRPr="00B7014C" w:rsidR="00F575A8">
        <w:t>6</w:t>
      </w:r>
      <w:r w:rsidRPr="00B7014C" w:rsidR="001F1D37">
        <w:t>18</w:t>
      </w:r>
      <w:r w:rsidRPr="00B7014C">
        <w:t xml:space="preserve"> pupils on roll which is </w:t>
      </w:r>
      <w:r w:rsidRPr="00B7014C" w:rsidR="00F575A8">
        <w:t>8</w:t>
      </w:r>
      <w:r w:rsidRPr="00B7014C" w:rsidR="001F1D37">
        <w:t>6%</w:t>
      </w:r>
      <w:r w:rsidRPr="00B7014C">
        <w:t xml:space="preserve"> of </w:t>
      </w:r>
      <w:r w:rsidRPr="00B7014C" w:rsidR="00554960">
        <w:t xml:space="preserve">the </w:t>
      </w:r>
      <w:r w:rsidRPr="00B7014C">
        <w:t xml:space="preserve">number </w:t>
      </w:r>
      <w:r w:rsidRPr="00B7014C" w:rsidR="00554960">
        <w:t xml:space="preserve">of </w:t>
      </w:r>
      <w:r w:rsidRPr="00B7014C">
        <w:t>pupils</w:t>
      </w:r>
      <w:r w:rsidRPr="00B7014C" w:rsidR="00404743">
        <w:t xml:space="preserve"> on roll in </w:t>
      </w:r>
      <w:r w:rsidRPr="00B7014C" w:rsidR="001F1D37">
        <w:t>January 2020</w:t>
      </w:r>
      <w:r w:rsidRPr="00B7014C" w:rsidR="00404743">
        <w:t xml:space="preserve"> in Year 6.</w:t>
      </w:r>
      <w:r w:rsidRPr="00B7014C">
        <w:t xml:space="preserve">  </w:t>
      </w:r>
      <w:r w:rsidRPr="00B7014C" w:rsidR="00603E1D">
        <w:t>Please see t</w:t>
      </w:r>
      <w:r w:rsidRPr="00B7014C">
        <w:t xml:space="preserve">able </w:t>
      </w:r>
      <w:r w:rsidRPr="00B7014C" w:rsidR="00404743">
        <w:t>10</w:t>
      </w:r>
      <w:r w:rsidRPr="00B7014C">
        <w:t xml:space="preserve"> below.</w:t>
      </w:r>
    </w:p>
    <w:p w:rsidRPr="00B7014C" w:rsidR="00A16979" w:rsidP="00A16979" w:rsidRDefault="00A16979" w14:paraId="5634D132" w14:textId="77777777">
      <w:pPr>
        <w:rPr>
          <w:sz w:val="16"/>
          <w:szCs w:val="16"/>
        </w:rPr>
      </w:pPr>
    </w:p>
    <w:p w:rsidRPr="00B7014C" w:rsidR="00A16979" w:rsidP="00A16979" w:rsidRDefault="00967E8D" w14:paraId="434A58B6" w14:textId="6F18B14E">
      <w:pPr>
        <w:rPr>
          <w:sz w:val="20"/>
          <w:szCs w:val="20"/>
        </w:rPr>
      </w:pPr>
      <w:r w:rsidRPr="00B7014C">
        <w:rPr>
          <w:sz w:val="20"/>
          <w:szCs w:val="20"/>
        </w:rPr>
        <w:t>Table 10</w:t>
      </w:r>
      <w:r w:rsidRPr="00B7014C" w:rsidR="00A16979">
        <w:rPr>
          <w:sz w:val="20"/>
          <w:szCs w:val="20"/>
        </w:rPr>
        <w:t>: Year 7 Retention Rates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2"/>
        <w:gridCol w:w="1874"/>
        <w:gridCol w:w="2343"/>
        <w:gridCol w:w="2701"/>
        <w:gridCol w:w="1874"/>
      </w:tblGrid>
      <w:tr w:rsidRPr="00B7014C" w:rsidR="002B13AF" w:rsidTr="00A93899" w14:paraId="781C7145" w14:textId="77777777">
        <w:trPr>
          <w:trHeight w:val="493"/>
        </w:trPr>
        <w:tc>
          <w:tcPr>
            <w:tcW w:w="687" w:type="pct"/>
            <w:shd w:val="clear" w:color="auto" w:fill="auto"/>
            <w:vAlign w:val="center"/>
            <w:hideMark/>
          </w:tcPr>
          <w:p w:rsidRPr="00B7014C" w:rsidR="002B13AF" w:rsidP="002B13AF" w:rsidRDefault="002B13AF" w14:paraId="650D8CA0" w14:textId="77777777">
            <w:pPr>
              <w:jc w:val="center"/>
              <w:rPr>
                <w:b/>
                <w:bCs/>
                <w:color w:val="000000"/>
                <w:sz w:val="20"/>
                <w:szCs w:val="20"/>
                <w:lang w:eastAsia="en-GB"/>
              </w:rPr>
            </w:pPr>
            <w:r w:rsidRPr="00B7014C">
              <w:rPr>
                <w:b/>
                <w:bCs/>
                <w:color w:val="000000"/>
                <w:sz w:val="20"/>
                <w:szCs w:val="20"/>
                <w:lang w:eastAsia="en-GB"/>
              </w:rPr>
              <w:t>May School Census*</w:t>
            </w:r>
          </w:p>
        </w:tc>
        <w:tc>
          <w:tcPr>
            <w:tcW w:w="919" w:type="pct"/>
            <w:shd w:val="clear" w:color="auto" w:fill="auto"/>
            <w:vAlign w:val="center"/>
            <w:hideMark/>
          </w:tcPr>
          <w:p w:rsidRPr="00B7014C" w:rsidR="002B13AF" w:rsidP="002B13AF" w:rsidRDefault="002B13AF" w14:paraId="53D8BA4E" w14:textId="77777777">
            <w:pPr>
              <w:jc w:val="center"/>
              <w:rPr>
                <w:b/>
                <w:bCs/>
                <w:color w:val="000000"/>
                <w:sz w:val="20"/>
                <w:szCs w:val="20"/>
                <w:lang w:eastAsia="en-GB"/>
              </w:rPr>
            </w:pPr>
            <w:proofErr w:type="spellStart"/>
            <w:r w:rsidRPr="00B7014C">
              <w:rPr>
                <w:b/>
                <w:bCs/>
                <w:color w:val="000000"/>
                <w:sz w:val="20"/>
                <w:szCs w:val="20"/>
                <w:lang w:eastAsia="en-GB"/>
              </w:rPr>
              <w:t>Yr</w:t>
            </w:r>
            <w:proofErr w:type="spellEnd"/>
            <w:r w:rsidRPr="00B7014C">
              <w:rPr>
                <w:b/>
                <w:bCs/>
                <w:color w:val="000000"/>
                <w:sz w:val="20"/>
                <w:szCs w:val="20"/>
                <w:lang w:eastAsia="en-GB"/>
              </w:rPr>
              <w:t xml:space="preserve"> 6</w:t>
            </w:r>
          </w:p>
        </w:tc>
        <w:tc>
          <w:tcPr>
            <w:tcW w:w="1149" w:type="pct"/>
            <w:shd w:val="clear" w:color="auto" w:fill="auto"/>
            <w:vAlign w:val="center"/>
            <w:hideMark/>
          </w:tcPr>
          <w:p w:rsidRPr="00B7014C" w:rsidR="002B13AF" w:rsidP="002B13AF" w:rsidRDefault="002B13AF" w14:paraId="3C70168E" w14:textId="77777777">
            <w:pPr>
              <w:jc w:val="center"/>
              <w:rPr>
                <w:b/>
                <w:bCs/>
                <w:color w:val="000000"/>
                <w:sz w:val="20"/>
                <w:szCs w:val="20"/>
                <w:lang w:eastAsia="en-GB"/>
              </w:rPr>
            </w:pPr>
            <w:r w:rsidRPr="00B7014C">
              <w:rPr>
                <w:b/>
                <w:bCs/>
                <w:color w:val="000000"/>
                <w:sz w:val="20"/>
                <w:szCs w:val="20"/>
                <w:lang w:eastAsia="en-GB"/>
              </w:rPr>
              <w:t>October School Census*</w:t>
            </w:r>
          </w:p>
        </w:tc>
        <w:tc>
          <w:tcPr>
            <w:tcW w:w="1325" w:type="pct"/>
            <w:shd w:val="clear" w:color="auto" w:fill="auto"/>
            <w:vAlign w:val="center"/>
            <w:hideMark/>
          </w:tcPr>
          <w:p w:rsidRPr="00B7014C" w:rsidR="002B13AF" w:rsidP="002B13AF" w:rsidRDefault="002B13AF" w14:paraId="331E25B8" w14:textId="77777777">
            <w:pPr>
              <w:jc w:val="center"/>
              <w:rPr>
                <w:b/>
                <w:bCs/>
                <w:color w:val="000000"/>
                <w:sz w:val="20"/>
                <w:szCs w:val="20"/>
                <w:lang w:eastAsia="en-GB"/>
              </w:rPr>
            </w:pPr>
            <w:proofErr w:type="spellStart"/>
            <w:r w:rsidRPr="00B7014C">
              <w:rPr>
                <w:b/>
                <w:bCs/>
                <w:color w:val="000000"/>
                <w:sz w:val="20"/>
                <w:szCs w:val="20"/>
                <w:lang w:eastAsia="en-GB"/>
              </w:rPr>
              <w:t>Yr</w:t>
            </w:r>
            <w:proofErr w:type="spellEnd"/>
            <w:r w:rsidRPr="00B7014C">
              <w:rPr>
                <w:b/>
                <w:bCs/>
                <w:color w:val="000000"/>
                <w:sz w:val="20"/>
                <w:szCs w:val="20"/>
                <w:lang w:eastAsia="en-GB"/>
              </w:rPr>
              <w:t xml:space="preserve"> 7</w:t>
            </w:r>
          </w:p>
        </w:tc>
        <w:tc>
          <w:tcPr>
            <w:tcW w:w="919" w:type="pct"/>
            <w:shd w:val="clear" w:color="auto" w:fill="auto"/>
            <w:vAlign w:val="center"/>
            <w:hideMark/>
          </w:tcPr>
          <w:p w:rsidRPr="00B7014C" w:rsidR="002B13AF" w:rsidP="002B13AF" w:rsidRDefault="002B13AF" w14:paraId="2699DF68" w14:textId="77777777">
            <w:pPr>
              <w:jc w:val="center"/>
              <w:rPr>
                <w:b/>
                <w:bCs/>
                <w:color w:val="000000"/>
                <w:sz w:val="20"/>
                <w:szCs w:val="20"/>
                <w:lang w:eastAsia="en-GB"/>
              </w:rPr>
            </w:pPr>
            <w:proofErr w:type="spellStart"/>
            <w:r w:rsidRPr="00B7014C">
              <w:rPr>
                <w:b/>
                <w:bCs/>
                <w:color w:val="000000"/>
                <w:sz w:val="20"/>
                <w:szCs w:val="20"/>
                <w:lang w:eastAsia="en-GB"/>
              </w:rPr>
              <w:t>Yr</w:t>
            </w:r>
            <w:proofErr w:type="spellEnd"/>
            <w:r w:rsidRPr="00B7014C">
              <w:rPr>
                <w:b/>
                <w:bCs/>
                <w:color w:val="000000"/>
                <w:sz w:val="20"/>
                <w:szCs w:val="20"/>
                <w:lang w:eastAsia="en-GB"/>
              </w:rPr>
              <w:t xml:space="preserve"> 7 as % of previous </w:t>
            </w:r>
            <w:proofErr w:type="spellStart"/>
            <w:r w:rsidRPr="00B7014C">
              <w:rPr>
                <w:b/>
                <w:bCs/>
                <w:color w:val="000000"/>
                <w:sz w:val="20"/>
                <w:szCs w:val="20"/>
                <w:lang w:eastAsia="en-GB"/>
              </w:rPr>
              <w:t>Yr</w:t>
            </w:r>
            <w:proofErr w:type="spellEnd"/>
            <w:r w:rsidRPr="00B7014C">
              <w:rPr>
                <w:b/>
                <w:bCs/>
                <w:color w:val="000000"/>
                <w:sz w:val="20"/>
                <w:szCs w:val="20"/>
                <w:lang w:eastAsia="en-GB"/>
              </w:rPr>
              <w:t xml:space="preserve"> 6</w:t>
            </w:r>
          </w:p>
        </w:tc>
      </w:tr>
      <w:tr w:rsidRPr="00B7014C" w:rsidR="002B13AF" w:rsidTr="00A93899" w14:paraId="202D3733" w14:textId="77777777">
        <w:trPr>
          <w:trHeight w:val="300"/>
        </w:trPr>
        <w:tc>
          <w:tcPr>
            <w:tcW w:w="687" w:type="pct"/>
            <w:shd w:val="clear" w:color="auto" w:fill="auto"/>
            <w:noWrap/>
            <w:vAlign w:val="center"/>
            <w:hideMark/>
          </w:tcPr>
          <w:p w:rsidRPr="00B7014C" w:rsidR="002B13AF" w:rsidP="002B13AF" w:rsidRDefault="002B13AF" w14:paraId="763251C2" w14:textId="77777777">
            <w:pPr>
              <w:jc w:val="center"/>
              <w:rPr>
                <w:color w:val="000000"/>
                <w:sz w:val="20"/>
                <w:szCs w:val="20"/>
                <w:lang w:eastAsia="en-GB"/>
              </w:rPr>
            </w:pPr>
            <w:r w:rsidRPr="00B7014C">
              <w:rPr>
                <w:color w:val="000000"/>
                <w:sz w:val="20"/>
                <w:szCs w:val="20"/>
                <w:lang w:eastAsia="en-GB"/>
              </w:rPr>
              <w:t>May-10</w:t>
            </w:r>
          </w:p>
        </w:tc>
        <w:tc>
          <w:tcPr>
            <w:tcW w:w="919" w:type="pct"/>
            <w:shd w:val="clear" w:color="auto" w:fill="auto"/>
            <w:noWrap/>
            <w:vAlign w:val="center"/>
            <w:hideMark/>
          </w:tcPr>
          <w:p w:rsidRPr="00B7014C" w:rsidR="002B13AF" w:rsidP="002B13AF" w:rsidRDefault="002B13AF" w14:paraId="03777CB0" w14:textId="77777777">
            <w:pPr>
              <w:jc w:val="center"/>
              <w:rPr>
                <w:color w:val="000000"/>
                <w:sz w:val="20"/>
                <w:szCs w:val="20"/>
                <w:lang w:eastAsia="en-GB"/>
              </w:rPr>
            </w:pPr>
            <w:r w:rsidRPr="00B7014C">
              <w:rPr>
                <w:color w:val="000000"/>
                <w:sz w:val="20"/>
                <w:szCs w:val="20"/>
                <w:lang w:eastAsia="en-GB"/>
              </w:rPr>
              <w:t>2,394</w:t>
            </w:r>
          </w:p>
        </w:tc>
        <w:tc>
          <w:tcPr>
            <w:tcW w:w="1149" w:type="pct"/>
            <w:shd w:val="clear" w:color="auto" w:fill="auto"/>
            <w:noWrap/>
            <w:vAlign w:val="center"/>
            <w:hideMark/>
          </w:tcPr>
          <w:p w:rsidRPr="00B7014C" w:rsidR="002B13AF" w:rsidP="002B13AF" w:rsidRDefault="002B13AF" w14:paraId="19F70D22" w14:textId="77777777">
            <w:pPr>
              <w:jc w:val="center"/>
              <w:rPr>
                <w:color w:val="000000"/>
                <w:sz w:val="20"/>
                <w:szCs w:val="20"/>
                <w:lang w:eastAsia="en-GB"/>
              </w:rPr>
            </w:pPr>
            <w:r w:rsidRPr="00B7014C">
              <w:rPr>
                <w:color w:val="000000"/>
                <w:sz w:val="20"/>
                <w:szCs w:val="20"/>
                <w:lang w:eastAsia="en-GB"/>
              </w:rPr>
              <w:t>Oct-10</w:t>
            </w:r>
          </w:p>
        </w:tc>
        <w:tc>
          <w:tcPr>
            <w:tcW w:w="1325" w:type="pct"/>
            <w:shd w:val="clear" w:color="auto" w:fill="auto"/>
            <w:noWrap/>
            <w:vAlign w:val="center"/>
            <w:hideMark/>
          </w:tcPr>
          <w:p w:rsidRPr="00B7014C" w:rsidR="002B13AF" w:rsidP="002B13AF" w:rsidRDefault="002B13AF" w14:paraId="35BF96BC" w14:textId="77777777">
            <w:pPr>
              <w:jc w:val="center"/>
              <w:rPr>
                <w:color w:val="000000"/>
                <w:sz w:val="20"/>
                <w:szCs w:val="20"/>
                <w:lang w:eastAsia="en-GB"/>
              </w:rPr>
            </w:pPr>
            <w:r w:rsidRPr="00B7014C">
              <w:rPr>
                <w:color w:val="000000"/>
                <w:sz w:val="20"/>
                <w:szCs w:val="20"/>
                <w:lang w:eastAsia="en-GB"/>
              </w:rPr>
              <w:t>1,972</w:t>
            </w:r>
          </w:p>
        </w:tc>
        <w:tc>
          <w:tcPr>
            <w:tcW w:w="919" w:type="pct"/>
            <w:shd w:val="clear" w:color="auto" w:fill="auto"/>
            <w:noWrap/>
            <w:vAlign w:val="center"/>
            <w:hideMark/>
          </w:tcPr>
          <w:p w:rsidRPr="00B7014C" w:rsidR="002B13AF" w:rsidP="002B13AF" w:rsidRDefault="002B13AF" w14:paraId="12068BC8" w14:textId="77777777">
            <w:pPr>
              <w:jc w:val="center"/>
              <w:rPr>
                <w:color w:val="000000"/>
                <w:sz w:val="20"/>
                <w:szCs w:val="20"/>
                <w:lang w:eastAsia="en-GB"/>
              </w:rPr>
            </w:pPr>
            <w:r w:rsidRPr="00B7014C">
              <w:rPr>
                <w:color w:val="000000"/>
                <w:sz w:val="20"/>
                <w:szCs w:val="20"/>
                <w:lang w:eastAsia="en-GB"/>
              </w:rPr>
              <w:t>82%</w:t>
            </w:r>
          </w:p>
        </w:tc>
      </w:tr>
      <w:tr w:rsidRPr="00B7014C" w:rsidR="002B13AF" w:rsidTr="00A93899" w14:paraId="2A7293BD" w14:textId="77777777">
        <w:trPr>
          <w:trHeight w:val="300"/>
        </w:trPr>
        <w:tc>
          <w:tcPr>
            <w:tcW w:w="687" w:type="pct"/>
            <w:shd w:val="clear" w:color="auto" w:fill="auto"/>
            <w:noWrap/>
            <w:vAlign w:val="center"/>
            <w:hideMark/>
          </w:tcPr>
          <w:p w:rsidRPr="00B7014C" w:rsidR="002B13AF" w:rsidP="002B13AF" w:rsidRDefault="002B13AF" w14:paraId="01AB5435" w14:textId="77777777">
            <w:pPr>
              <w:jc w:val="center"/>
              <w:rPr>
                <w:color w:val="000000"/>
                <w:sz w:val="20"/>
                <w:szCs w:val="20"/>
                <w:lang w:eastAsia="en-GB"/>
              </w:rPr>
            </w:pPr>
            <w:r w:rsidRPr="00B7014C">
              <w:rPr>
                <w:color w:val="000000"/>
                <w:sz w:val="20"/>
                <w:szCs w:val="20"/>
                <w:lang w:eastAsia="en-GB"/>
              </w:rPr>
              <w:t>May-11</w:t>
            </w:r>
          </w:p>
        </w:tc>
        <w:tc>
          <w:tcPr>
            <w:tcW w:w="919" w:type="pct"/>
            <w:shd w:val="clear" w:color="auto" w:fill="auto"/>
            <w:noWrap/>
            <w:vAlign w:val="center"/>
            <w:hideMark/>
          </w:tcPr>
          <w:p w:rsidRPr="00B7014C" w:rsidR="002B13AF" w:rsidP="002B13AF" w:rsidRDefault="002B13AF" w14:paraId="24CA1CF8" w14:textId="77777777">
            <w:pPr>
              <w:jc w:val="center"/>
              <w:rPr>
                <w:color w:val="000000"/>
                <w:sz w:val="20"/>
                <w:szCs w:val="20"/>
                <w:lang w:eastAsia="en-GB"/>
              </w:rPr>
            </w:pPr>
            <w:r w:rsidRPr="00B7014C">
              <w:rPr>
                <w:color w:val="000000"/>
                <w:sz w:val="20"/>
                <w:szCs w:val="20"/>
                <w:lang w:eastAsia="en-GB"/>
              </w:rPr>
              <w:t>2,408</w:t>
            </w:r>
          </w:p>
        </w:tc>
        <w:tc>
          <w:tcPr>
            <w:tcW w:w="1149" w:type="pct"/>
            <w:shd w:val="clear" w:color="auto" w:fill="auto"/>
            <w:noWrap/>
            <w:vAlign w:val="center"/>
            <w:hideMark/>
          </w:tcPr>
          <w:p w:rsidRPr="00B7014C" w:rsidR="002B13AF" w:rsidP="002B13AF" w:rsidRDefault="002B13AF" w14:paraId="78C613E9" w14:textId="7D18A896">
            <w:pPr>
              <w:jc w:val="center"/>
              <w:rPr>
                <w:color w:val="000000"/>
                <w:sz w:val="20"/>
                <w:szCs w:val="20"/>
                <w:lang w:eastAsia="en-GB"/>
              </w:rPr>
            </w:pPr>
            <w:r w:rsidRPr="00B7014C">
              <w:rPr>
                <w:color w:val="000000"/>
                <w:sz w:val="20"/>
                <w:szCs w:val="20"/>
                <w:lang w:eastAsia="en-GB"/>
              </w:rPr>
              <w:t>Jan-12**</w:t>
            </w:r>
          </w:p>
        </w:tc>
        <w:tc>
          <w:tcPr>
            <w:tcW w:w="1325" w:type="pct"/>
            <w:shd w:val="clear" w:color="auto" w:fill="auto"/>
            <w:noWrap/>
            <w:vAlign w:val="center"/>
            <w:hideMark/>
          </w:tcPr>
          <w:p w:rsidRPr="00B7014C" w:rsidR="002B13AF" w:rsidP="002B13AF" w:rsidRDefault="002B13AF" w14:paraId="61F6BCDD" w14:textId="77777777">
            <w:pPr>
              <w:jc w:val="center"/>
              <w:rPr>
                <w:color w:val="000000"/>
                <w:sz w:val="20"/>
                <w:szCs w:val="20"/>
                <w:lang w:eastAsia="en-GB"/>
              </w:rPr>
            </w:pPr>
            <w:r w:rsidRPr="00B7014C">
              <w:rPr>
                <w:color w:val="000000"/>
                <w:sz w:val="20"/>
                <w:szCs w:val="20"/>
                <w:lang w:eastAsia="en-GB"/>
              </w:rPr>
              <w:t>2,088</w:t>
            </w:r>
          </w:p>
        </w:tc>
        <w:tc>
          <w:tcPr>
            <w:tcW w:w="919" w:type="pct"/>
            <w:shd w:val="clear" w:color="auto" w:fill="auto"/>
            <w:noWrap/>
            <w:vAlign w:val="center"/>
            <w:hideMark/>
          </w:tcPr>
          <w:p w:rsidRPr="00B7014C" w:rsidR="002B13AF" w:rsidP="002B13AF" w:rsidRDefault="002B13AF" w14:paraId="51B867CA" w14:textId="77777777">
            <w:pPr>
              <w:jc w:val="center"/>
              <w:rPr>
                <w:color w:val="000000"/>
                <w:sz w:val="20"/>
                <w:szCs w:val="20"/>
                <w:lang w:eastAsia="en-GB"/>
              </w:rPr>
            </w:pPr>
            <w:r w:rsidRPr="00B7014C">
              <w:rPr>
                <w:color w:val="000000"/>
                <w:sz w:val="20"/>
                <w:szCs w:val="20"/>
                <w:lang w:eastAsia="en-GB"/>
              </w:rPr>
              <w:t>87%</w:t>
            </w:r>
          </w:p>
        </w:tc>
      </w:tr>
      <w:tr w:rsidRPr="00B7014C" w:rsidR="002B13AF" w:rsidTr="00A93899" w14:paraId="2C392B6E" w14:textId="77777777">
        <w:trPr>
          <w:trHeight w:val="300"/>
        </w:trPr>
        <w:tc>
          <w:tcPr>
            <w:tcW w:w="687" w:type="pct"/>
            <w:shd w:val="clear" w:color="auto" w:fill="auto"/>
            <w:noWrap/>
            <w:vAlign w:val="center"/>
            <w:hideMark/>
          </w:tcPr>
          <w:p w:rsidRPr="00B7014C" w:rsidR="002B13AF" w:rsidP="002B13AF" w:rsidRDefault="002B13AF" w14:paraId="089A8DF5" w14:textId="77777777">
            <w:pPr>
              <w:jc w:val="center"/>
              <w:rPr>
                <w:color w:val="000000"/>
                <w:sz w:val="20"/>
                <w:szCs w:val="20"/>
                <w:lang w:eastAsia="en-GB"/>
              </w:rPr>
            </w:pPr>
            <w:r w:rsidRPr="00B7014C">
              <w:rPr>
                <w:color w:val="000000"/>
                <w:sz w:val="20"/>
                <w:szCs w:val="20"/>
                <w:lang w:eastAsia="en-GB"/>
              </w:rPr>
              <w:t>May-12</w:t>
            </w:r>
          </w:p>
        </w:tc>
        <w:tc>
          <w:tcPr>
            <w:tcW w:w="919" w:type="pct"/>
            <w:shd w:val="clear" w:color="auto" w:fill="auto"/>
            <w:noWrap/>
            <w:vAlign w:val="center"/>
            <w:hideMark/>
          </w:tcPr>
          <w:p w:rsidRPr="00B7014C" w:rsidR="002B13AF" w:rsidP="002B13AF" w:rsidRDefault="002B13AF" w14:paraId="2C44B0BE" w14:textId="77777777">
            <w:pPr>
              <w:jc w:val="center"/>
              <w:rPr>
                <w:color w:val="000000"/>
                <w:sz w:val="20"/>
                <w:szCs w:val="20"/>
                <w:lang w:eastAsia="en-GB"/>
              </w:rPr>
            </w:pPr>
            <w:r w:rsidRPr="00B7014C">
              <w:rPr>
                <w:color w:val="000000"/>
                <w:sz w:val="20"/>
                <w:szCs w:val="20"/>
                <w:lang w:eastAsia="en-GB"/>
              </w:rPr>
              <w:t>2,333</w:t>
            </w:r>
          </w:p>
        </w:tc>
        <w:tc>
          <w:tcPr>
            <w:tcW w:w="1149" w:type="pct"/>
            <w:shd w:val="clear" w:color="auto" w:fill="auto"/>
            <w:noWrap/>
            <w:vAlign w:val="center"/>
            <w:hideMark/>
          </w:tcPr>
          <w:p w:rsidRPr="00B7014C" w:rsidR="002B13AF" w:rsidP="002B13AF" w:rsidRDefault="002B13AF" w14:paraId="623D4077" w14:textId="77777777">
            <w:pPr>
              <w:jc w:val="center"/>
              <w:rPr>
                <w:color w:val="000000"/>
                <w:sz w:val="20"/>
                <w:szCs w:val="20"/>
                <w:lang w:eastAsia="en-GB"/>
              </w:rPr>
            </w:pPr>
            <w:r w:rsidRPr="00B7014C">
              <w:rPr>
                <w:color w:val="000000"/>
                <w:sz w:val="20"/>
                <w:szCs w:val="20"/>
                <w:lang w:eastAsia="en-GB"/>
              </w:rPr>
              <w:t>Oct-12</w:t>
            </w:r>
          </w:p>
        </w:tc>
        <w:tc>
          <w:tcPr>
            <w:tcW w:w="1325" w:type="pct"/>
            <w:shd w:val="clear" w:color="auto" w:fill="auto"/>
            <w:noWrap/>
            <w:vAlign w:val="center"/>
            <w:hideMark/>
          </w:tcPr>
          <w:p w:rsidRPr="00B7014C" w:rsidR="002B13AF" w:rsidP="002B13AF" w:rsidRDefault="002B13AF" w14:paraId="62DEEE18" w14:textId="77777777">
            <w:pPr>
              <w:jc w:val="center"/>
              <w:rPr>
                <w:color w:val="000000"/>
                <w:sz w:val="20"/>
                <w:szCs w:val="20"/>
                <w:lang w:eastAsia="en-GB"/>
              </w:rPr>
            </w:pPr>
            <w:r w:rsidRPr="00B7014C">
              <w:rPr>
                <w:color w:val="000000"/>
                <w:sz w:val="20"/>
                <w:szCs w:val="20"/>
                <w:lang w:eastAsia="en-GB"/>
              </w:rPr>
              <w:t>1,861</w:t>
            </w:r>
          </w:p>
        </w:tc>
        <w:tc>
          <w:tcPr>
            <w:tcW w:w="919" w:type="pct"/>
            <w:shd w:val="clear" w:color="auto" w:fill="auto"/>
            <w:noWrap/>
            <w:vAlign w:val="center"/>
            <w:hideMark/>
          </w:tcPr>
          <w:p w:rsidRPr="00B7014C" w:rsidR="002B13AF" w:rsidP="002B13AF" w:rsidRDefault="002B13AF" w14:paraId="1D60F8E5" w14:textId="77777777">
            <w:pPr>
              <w:jc w:val="center"/>
              <w:rPr>
                <w:color w:val="000000"/>
                <w:sz w:val="20"/>
                <w:szCs w:val="20"/>
                <w:lang w:eastAsia="en-GB"/>
              </w:rPr>
            </w:pPr>
            <w:r w:rsidRPr="00B7014C">
              <w:rPr>
                <w:color w:val="000000"/>
                <w:sz w:val="20"/>
                <w:szCs w:val="20"/>
                <w:lang w:eastAsia="en-GB"/>
              </w:rPr>
              <w:t>80%</w:t>
            </w:r>
          </w:p>
        </w:tc>
      </w:tr>
      <w:tr w:rsidRPr="00B7014C" w:rsidR="002B13AF" w:rsidTr="00A93899" w14:paraId="4480B1C2" w14:textId="77777777">
        <w:trPr>
          <w:trHeight w:val="300"/>
        </w:trPr>
        <w:tc>
          <w:tcPr>
            <w:tcW w:w="687" w:type="pct"/>
            <w:shd w:val="clear" w:color="auto" w:fill="auto"/>
            <w:noWrap/>
            <w:vAlign w:val="center"/>
            <w:hideMark/>
          </w:tcPr>
          <w:p w:rsidRPr="00B7014C" w:rsidR="002B13AF" w:rsidP="002B13AF" w:rsidRDefault="002B13AF" w14:paraId="2843E451" w14:textId="77777777">
            <w:pPr>
              <w:jc w:val="center"/>
              <w:rPr>
                <w:color w:val="000000"/>
                <w:sz w:val="20"/>
                <w:szCs w:val="20"/>
                <w:lang w:eastAsia="en-GB"/>
              </w:rPr>
            </w:pPr>
            <w:r w:rsidRPr="00B7014C">
              <w:rPr>
                <w:color w:val="000000"/>
                <w:sz w:val="20"/>
                <w:szCs w:val="20"/>
                <w:lang w:eastAsia="en-GB"/>
              </w:rPr>
              <w:t>May-13</w:t>
            </w:r>
          </w:p>
        </w:tc>
        <w:tc>
          <w:tcPr>
            <w:tcW w:w="919" w:type="pct"/>
            <w:shd w:val="clear" w:color="auto" w:fill="auto"/>
            <w:noWrap/>
            <w:vAlign w:val="center"/>
            <w:hideMark/>
          </w:tcPr>
          <w:p w:rsidRPr="00B7014C" w:rsidR="002B13AF" w:rsidP="002B13AF" w:rsidRDefault="002B13AF" w14:paraId="4F9ACA98" w14:textId="77777777">
            <w:pPr>
              <w:jc w:val="center"/>
              <w:rPr>
                <w:color w:val="000000"/>
                <w:sz w:val="20"/>
                <w:szCs w:val="20"/>
                <w:lang w:eastAsia="en-GB"/>
              </w:rPr>
            </w:pPr>
            <w:r w:rsidRPr="00B7014C">
              <w:rPr>
                <w:color w:val="000000"/>
                <w:sz w:val="20"/>
                <w:szCs w:val="20"/>
                <w:lang w:eastAsia="en-GB"/>
              </w:rPr>
              <w:t>2,395</w:t>
            </w:r>
          </w:p>
        </w:tc>
        <w:tc>
          <w:tcPr>
            <w:tcW w:w="1149" w:type="pct"/>
            <w:shd w:val="clear" w:color="auto" w:fill="auto"/>
            <w:noWrap/>
            <w:vAlign w:val="center"/>
            <w:hideMark/>
          </w:tcPr>
          <w:p w:rsidRPr="00B7014C" w:rsidR="002B13AF" w:rsidP="002B13AF" w:rsidRDefault="002B13AF" w14:paraId="005B1AE4" w14:textId="77777777">
            <w:pPr>
              <w:jc w:val="center"/>
              <w:rPr>
                <w:color w:val="000000"/>
                <w:sz w:val="20"/>
                <w:szCs w:val="20"/>
                <w:lang w:eastAsia="en-GB"/>
              </w:rPr>
            </w:pPr>
            <w:r w:rsidRPr="00B7014C">
              <w:rPr>
                <w:color w:val="000000"/>
                <w:sz w:val="20"/>
                <w:szCs w:val="20"/>
                <w:lang w:eastAsia="en-GB"/>
              </w:rPr>
              <w:t>Oct-13</w:t>
            </w:r>
          </w:p>
        </w:tc>
        <w:tc>
          <w:tcPr>
            <w:tcW w:w="1325" w:type="pct"/>
            <w:shd w:val="clear" w:color="auto" w:fill="auto"/>
            <w:noWrap/>
            <w:vAlign w:val="center"/>
            <w:hideMark/>
          </w:tcPr>
          <w:p w:rsidRPr="00B7014C" w:rsidR="002B13AF" w:rsidP="002B13AF" w:rsidRDefault="002B13AF" w14:paraId="42233EFF" w14:textId="77777777">
            <w:pPr>
              <w:jc w:val="center"/>
              <w:rPr>
                <w:color w:val="000000"/>
                <w:sz w:val="20"/>
                <w:szCs w:val="20"/>
                <w:lang w:eastAsia="en-GB"/>
              </w:rPr>
            </w:pPr>
            <w:r w:rsidRPr="00B7014C">
              <w:rPr>
                <w:color w:val="000000"/>
                <w:sz w:val="20"/>
                <w:szCs w:val="20"/>
                <w:lang w:eastAsia="en-GB"/>
              </w:rPr>
              <w:t>1,980</w:t>
            </w:r>
          </w:p>
        </w:tc>
        <w:tc>
          <w:tcPr>
            <w:tcW w:w="919" w:type="pct"/>
            <w:shd w:val="clear" w:color="auto" w:fill="auto"/>
            <w:noWrap/>
            <w:vAlign w:val="center"/>
            <w:hideMark/>
          </w:tcPr>
          <w:p w:rsidRPr="00B7014C" w:rsidR="002B13AF" w:rsidP="002B13AF" w:rsidRDefault="002B13AF" w14:paraId="5D348FE2" w14:textId="77777777">
            <w:pPr>
              <w:jc w:val="center"/>
              <w:rPr>
                <w:color w:val="000000"/>
                <w:sz w:val="20"/>
                <w:szCs w:val="20"/>
                <w:lang w:eastAsia="en-GB"/>
              </w:rPr>
            </w:pPr>
            <w:r w:rsidRPr="00B7014C">
              <w:rPr>
                <w:color w:val="000000"/>
                <w:sz w:val="20"/>
                <w:szCs w:val="20"/>
                <w:lang w:eastAsia="en-GB"/>
              </w:rPr>
              <w:t>83%</w:t>
            </w:r>
          </w:p>
        </w:tc>
      </w:tr>
      <w:tr w:rsidRPr="00B7014C" w:rsidR="002B13AF" w:rsidTr="00A93899" w14:paraId="02DCD7D7" w14:textId="77777777">
        <w:trPr>
          <w:trHeight w:val="300"/>
        </w:trPr>
        <w:tc>
          <w:tcPr>
            <w:tcW w:w="687" w:type="pct"/>
            <w:shd w:val="clear" w:color="auto" w:fill="auto"/>
            <w:noWrap/>
            <w:vAlign w:val="center"/>
            <w:hideMark/>
          </w:tcPr>
          <w:p w:rsidRPr="00B7014C" w:rsidR="002B13AF" w:rsidP="002B13AF" w:rsidRDefault="002B13AF" w14:paraId="18304575" w14:textId="77777777">
            <w:pPr>
              <w:jc w:val="center"/>
              <w:rPr>
                <w:color w:val="000000"/>
                <w:sz w:val="20"/>
                <w:szCs w:val="20"/>
                <w:lang w:eastAsia="en-GB"/>
              </w:rPr>
            </w:pPr>
            <w:r w:rsidRPr="00B7014C">
              <w:rPr>
                <w:color w:val="000000"/>
                <w:sz w:val="20"/>
                <w:szCs w:val="20"/>
                <w:lang w:eastAsia="en-GB"/>
              </w:rPr>
              <w:t>May-14</w:t>
            </w:r>
          </w:p>
        </w:tc>
        <w:tc>
          <w:tcPr>
            <w:tcW w:w="919" w:type="pct"/>
            <w:shd w:val="clear" w:color="auto" w:fill="auto"/>
            <w:noWrap/>
            <w:vAlign w:val="center"/>
            <w:hideMark/>
          </w:tcPr>
          <w:p w:rsidRPr="00B7014C" w:rsidR="002B13AF" w:rsidP="002B13AF" w:rsidRDefault="002B13AF" w14:paraId="0EE55526" w14:textId="77777777">
            <w:pPr>
              <w:jc w:val="center"/>
              <w:rPr>
                <w:color w:val="000000"/>
                <w:sz w:val="20"/>
                <w:szCs w:val="20"/>
                <w:lang w:eastAsia="en-GB"/>
              </w:rPr>
            </w:pPr>
            <w:r w:rsidRPr="00B7014C">
              <w:rPr>
                <w:color w:val="000000"/>
                <w:sz w:val="20"/>
                <w:szCs w:val="20"/>
                <w:lang w:eastAsia="en-GB"/>
              </w:rPr>
              <w:t>2,545</w:t>
            </w:r>
          </w:p>
        </w:tc>
        <w:tc>
          <w:tcPr>
            <w:tcW w:w="1149" w:type="pct"/>
            <w:shd w:val="clear" w:color="auto" w:fill="auto"/>
            <w:noWrap/>
            <w:vAlign w:val="center"/>
            <w:hideMark/>
          </w:tcPr>
          <w:p w:rsidRPr="00B7014C" w:rsidR="002B13AF" w:rsidP="002B13AF" w:rsidRDefault="002B13AF" w14:paraId="0F005CC3" w14:textId="77777777">
            <w:pPr>
              <w:jc w:val="center"/>
              <w:rPr>
                <w:color w:val="000000"/>
                <w:sz w:val="20"/>
                <w:szCs w:val="20"/>
                <w:lang w:eastAsia="en-GB"/>
              </w:rPr>
            </w:pPr>
            <w:r w:rsidRPr="00B7014C">
              <w:rPr>
                <w:color w:val="000000"/>
                <w:sz w:val="20"/>
                <w:szCs w:val="20"/>
                <w:lang w:eastAsia="en-GB"/>
              </w:rPr>
              <w:t>Oct-14</w:t>
            </w:r>
          </w:p>
        </w:tc>
        <w:tc>
          <w:tcPr>
            <w:tcW w:w="1325" w:type="pct"/>
            <w:shd w:val="clear" w:color="auto" w:fill="auto"/>
            <w:noWrap/>
            <w:vAlign w:val="center"/>
            <w:hideMark/>
          </w:tcPr>
          <w:p w:rsidRPr="00B7014C" w:rsidR="002B13AF" w:rsidP="002B13AF" w:rsidRDefault="002B13AF" w14:paraId="1BF36308" w14:textId="77777777">
            <w:pPr>
              <w:jc w:val="center"/>
              <w:rPr>
                <w:color w:val="000000"/>
                <w:sz w:val="20"/>
                <w:szCs w:val="20"/>
                <w:lang w:eastAsia="en-GB"/>
              </w:rPr>
            </w:pPr>
            <w:r w:rsidRPr="00B7014C">
              <w:rPr>
                <w:color w:val="000000"/>
                <w:sz w:val="20"/>
                <w:szCs w:val="20"/>
                <w:lang w:eastAsia="en-GB"/>
              </w:rPr>
              <w:t>2,172</w:t>
            </w:r>
          </w:p>
        </w:tc>
        <w:tc>
          <w:tcPr>
            <w:tcW w:w="919" w:type="pct"/>
            <w:shd w:val="clear" w:color="auto" w:fill="auto"/>
            <w:noWrap/>
            <w:vAlign w:val="center"/>
            <w:hideMark/>
          </w:tcPr>
          <w:p w:rsidRPr="00B7014C" w:rsidR="002B13AF" w:rsidP="002B13AF" w:rsidRDefault="002B13AF" w14:paraId="632AFA9A" w14:textId="77777777">
            <w:pPr>
              <w:jc w:val="center"/>
              <w:rPr>
                <w:color w:val="000000"/>
                <w:sz w:val="20"/>
                <w:szCs w:val="20"/>
                <w:lang w:eastAsia="en-GB"/>
              </w:rPr>
            </w:pPr>
            <w:r w:rsidRPr="00B7014C">
              <w:rPr>
                <w:color w:val="000000"/>
                <w:sz w:val="20"/>
                <w:szCs w:val="20"/>
                <w:lang w:eastAsia="en-GB"/>
              </w:rPr>
              <w:t>85%</w:t>
            </w:r>
          </w:p>
        </w:tc>
      </w:tr>
      <w:tr w:rsidRPr="00B7014C" w:rsidR="002B13AF" w:rsidTr="00A93899" w14:paraId="64DEE280" w14:textId="77777777">
        <w:trPr>
          <w:trHeight w:val="300"/>
        </w:trPr>
        <w:tc>
          <w:tcPr>
            <w:tcW w:w="687" w:type="pct"/>
            <w:shd w:val="clear" w:color="auto" w:fill="auto"/>
            <w:noWrap/>
            <w:vAlign w:val="center"/>
            <w:hideMark/>
          </w:tcPr>
          <w:p w:rsidRPr="00B7014C" w:rsidR="002B13AF" w:rsidP="002B13AF" w:rsidRDefault="002B13AF" w14:paraId="6D510A2D" w14:textId="77777777">
            <w:pPr>
              <w:jc w:val="center"/>
              <w:rPr>
                <w:color w:val="000000"/>
                <w:sz w:val="20"/>
                <w:szCs w:val="20"/>
                <w:lang w:eastAsia="en-GB"/>
              </w:rPr>
            </w:pPr>
            <w:r w:rsidRPr="00B7014C">
              <w:rPr>
                <w:color w:val="000000"/>
                <w:sz w:val="20"/>
                <w:szCs w:val="20"/>
                <w:lang w:eastAsia="en-GB"/>
              </w:rPr>
              <w:t>May-15</w:t>
            </w:r>
          </w:p>
        </w:tc>
        <w:tc>
          <w:tcPr>
            <w:tcW w:w="919" w:type="pct"/>
            <w:shd w:val="clear" w:color="auto" w:fill="auto"/>
            <w:noWrap/>
            <w:vAlign w:val="center"/>
            <w:hideMark/>
          </w:tcPr>
          <w:p w:rsidRPr="00B7014C" w:rsidR="002B13AF" w:rsidP="002B13AF" w:rsidRDefault="002B13AF" w14:paraId="59004D98" w14:textId="77777777">
            <w:pPr>
              <w:jc w:val="center"/>
              <w:rPr>
                <w:color w:val="000000"/>
                <w:sz w:val="20"/>
                <w:szCs w:val="20"/>
                <w:lang w:eastAsia="en-GB"/>
              </w:rPr>
            </w:pPr>
            <w:r w:rsidRPr="00B7014C">
              <w:rPr>
                <w:color w:val="000000"/>
                <w:sz w:val="20"/>
                <w:szCs w:val="20"/>
                <w:lang w:eastAsia="en-GB"/>
              </w:rPr>
              <w:t>2,597</w:t>
            </w:r>
          </w:p>
        </w:tc>
        <w:tc>
          <w:tcPr>
            <w:tcW w:w="1149" w:type="pct"/>
            <w:shd w:val="clear" w:color="auto" w:fill="auto"/>
            <w:noWrap/>
            <w:vAlign w:val="center"/>
            <w:hideMark/>
          </w:tcPr>
          <w:p w:rsidRPr="00B7014C" w:rsidR="002B13AF" w:rsidP="002B13AF" w:rsidRDefault="002B13AF" w14:paraId="7BADAA8A" w14:textId="77777777">
            <w:pPr>
              <w:jc w:val="center"/>
              <w:rPr>
                <w:color w:val="000000"/>
                <w:sz w:val="20"/>
                <w:szCs w:val="20"/>
                <w:lang w:eastAsia="en-GB"/>
              </w:rPr>
            </w:pPr>
            <w:r w:rsidRPr="00B7014C">
              <w:rPr>
                <w:color w:val="000000"/>
                <w:sz w:val="20"/>
                <w:szCs w:val="20"/>
                <w:lang w:eastAsia="en-GB"/>
              </w:rPr>
              <w:t>Oct-15</w:t>
            </w:r>
          </w:p>
        </w:tc>
        <w:tc>
          <w:tcPr>
            <w:tcW w:w="1325" w:type="pct"/>
            <w:shd w:val="clear" w:color="auto" w:fill="auto"/>
            <w:noWrap/>
            <w:vAlign w:val="center"/>
            <w:hideMark/>
          </w:tcPr>
          <w:p w:rsidRPr="00B7014C" w:rsidR="002B13AF" w:rsidP="002B13AF" w:rsidRDefault="002B13AF" w14:paraId="507466AB" w14:textId="77777777">
            <w:pPr>
              <w:jc w:val="center"/>
              <w:rPr>
                <w:color w:val="000000"/>
                <w:sz w:val="20"/>
                <w:szCs w:val="20"/>
                <w:lang w:eastAsia="en-GB"/>
              </w:rPr>
            </w:pPr>
            <w:r w:rsidRPr="00B7014C">
              <w:rPr>
                <w:color w:val="000000"/>
                <w:sz w:val="20"/>
                <w:szCs w:val="20"/>
                <w:lang w:eastAsia="en-GB"/>
              </w:rPr>
              <w:t>2,198</w:t>
            </w:r>
          </w:p>
        </w:tc>
        <w:tc>
          <w:tcPr>
            <w:tcW w:w="919" w:type="pct"/>
            <w:shd w:val="clear" w:color="auto" w:fill="auto"/>
            <w:noWrap/>
            <w:vAlign w:val="center"/>
            <w:hideMark/>
          </w:tcPr>
          <w:p w:rsidRPr="00B7014C" w:rsidR="002B13AF" w:rsidP="002B13AF" w:rsidRDefault="002B13AF" w14:paraId="1C939599" w14:textId="77777777">
            <w:pPr>
              <w:jc w:val="center"/>
              <w:rPr>
                <w:color w:val="000000"/>
                <w:sz w:val="20"/>
                <w:szCs w:val="20"/>
                <w:lang w:eastAsia="en-GB"/>
              </w:rPr>
            </w:pPr>
            <w:r w:rsidRPr="00B7014C">
              <w:rPr>
                <w:color w:val="000000"/>
                <w:sz w:val="20"/>
                <w:szCs w:val="20"/>
                <w:lang w:eastAsia="en-GB"/>
              </w:rPr>
              <w:t>85%</w:t>
            </w:r>
          </w:p>
        </w:tc>
      </w:tr>
      <w:tr w:rsidRPr="00B7014C" w:rsidR="002B13AF" w:rsidTr="00A93899" w14:paraId="77242E97" w14:textId="77777777">
        <w:trPr>
          <w:trHeight w:val="300"/>
        </w:trPr>
        <w:tc>
          <w:tcPr>
            <w:tcW w:w="687" w:type="pct"/>
            <w:shd w:val="clear" w:color="auto" w:fill="auto"/>
            <w:noWrap/>
            <w:vAlign w:val="center"/>
            <w:hideMark/>
          </w:tcPr>
          <w:p w:rsidRPr="00B7014C" w:rsidR="002B13AF" w:rsidP="002B13AF" w:rsidRDefault="002B13AF" w14:paraId="55A4331F" w14:textId="77777777">
            <w:pPr>
              <w:jc w:val="center"/>
              <w:rPr>
                <w:color w:val="000000"/>
                <w:sz w:val="20"/>
                <w:szCs w:val="20"/>
                <w:lang w:eastAsia="en-GB"/>
              </w:rPr>
            </w:pPr>
            <w:r w:rsidRPr="00B7014C">
              <w:rPr>
                <w:color w:val="000000"/>
                <w:sz w:val="20"/>
                <w:szCs w:val="20"/>
                <w:lang w:eastAsia="en-GB"/>
              </w:rPr>
              <w:t>May-16</w:t>
            </w:r>
          </w:p>
        </w:tc>
        <w:tc>
          <w:tcPr>
            <w:tcW w:w="919" w:type="pct"/>
            <w:shd w:val="clear" w:color="auto" w:fill="auto"/>
            <w:noWrap/>
            <w:vAlign w:val="center"/>
            <w:hideMark/>
          </w:tcPr>
          <w:p w:rsidRPr="00B7014C" w:rsidR="002B13AF" w:rsidP="002B13AF" w:rsidRDefault="002B13AF" w14:paraId="174A1850" w14:textId="77777777">
            <w:pPr>
              <w:jc w:val="center"/>
              <w:rPr>
                <w:color w:val="000000"/>
                <w:sz w:val="20"/>
                <w:szCs w:val="20"/>
                <w:lang w:eastAsia="en-GB"/>
              </w:rPr>
            </w:pPr>
            <w:r w:rsidRPr="00B7014C">
              <w:rPr>
                <w:color w:val="000000"/>
                <w:sz w:val="20"/>
                <w:szCs w:val="20"/>
                <w:lang w:eastAsia="en-GB"/>
              </w:rPr>
              <w:t>2,711</w:t>
            </w:r>
          </w:p>
        </w:tc>
        <w:tc>
          <w:tcPr>
            <w:tcW w:w="1149" w:type="pct"/>
            <w:shd w:val="clear" w:color="auto" w:fill="auto"/>
            <w:noWrap/>
            <w:vAlign w:val="center"/>
            <w:hideMark/>
          </w:tcPr>
          <w:p w:rsidRPr="00B7014C" w:rsidR="002B13AF" w:rsidP="002B13AF" w:rsidRDefault="002B13AF" w14:paraId="109365B2" w14:textId="77777777">
            <w:pPr>
              <w:jc w:val="center"/>
              <w:rPr>
                <w:color w:val="000000"/>
                <w:sz w:val="20"/>
                <w:szCs w:val="20"/>
                <w:lang w:eastAsia="en-GB"/>
              </w:rPr>
            </w:pPr>
            <w:r w:rsidRPr="00B7014C">
              <w:rPr>
                <w:color w:val="000000"/>
                <w:sz w:val="20"/>
                <w:szCs w:val="20"/>
                <w:lang w:eastAsia="en-GB"/>
              </w:rPr>
              <w:t>Oct-16</w:t>
            </w:r>
          </w:p>
        </w:tc>
        <w:tc>
          <w:tcPr>
            <w:tcW w:w="1325" w:type="pct"/>
            <w:shd w:val="clear" w:color="auto" w:fill="auto"/>
            <w:noWrap/>
            <w:vAlign w:val="center"/>
            <w:hideMark/>
          </w:tcPr>
          <w:p w:rsidRPr="00B7014C" w:rsidR="002B13AF" w:rsidP="002B13AF" w:rsidRDefault="002B13AF" w14:paraId="01B10CB9" w14:textId="77777777">
            <w:pPr>
              <w:jc w:val="center"/>
              <w:rPr>
                <w:color w:val="000000"/>
                <w:sz w:val="20"/>
                <w:szCs w:val="20"/>
                <w:lang w:eastAsia="en-GB"/>
              </w:rPr>
            </w:pPr>
            <w:r w:rsidRPr="00B7014C">
              <w:rPr>
                <w:color w:val="000000"/>
                <w:sz w:val="20"/>
                <w:szCs w:val="20"/>
                <w:lang w:eastAsia="en-GB"/>
              </w:rPr>
              <w:t>2,371</w:t>
            </w:r>
          </w:p>
        </w:tc>
        <w:tc>
          <w:tcPr>
            <w:tcW w:w="919" w:type="pct"/>
            <w:shd w:val="clear" w:color="auto" w:fill="auto"/>
            <w:noWrap/>
            <w:vAlign w:val="center"/>
            <w:hideMark/>
          </w:tcPr>
          <w:p w:rsidRPr="00B7014C" w:rsidR="002B13AF" w:rsidP="002B13AF" w:rsidRDefault="002B13AF" w14:paraId="0041CB62" w14:textId="77777777">
            <w:pPr>
              <w:jc w:val="center"/>
              <w:rPr>
                <w:color w:val="000000"/>
                <w:sz w:val="20"/>
                <w:szCs w:val="20"/>
                <w:lang w:eastAsia="en-GB"/>
              </w:rPr>
            </w:pPr>
            <w:r w:rsidRPr="00B7014C">
              <w:rPr>
                <w:color w:val="000000"/>
                <w:sz w:val="20"/>
                <w:szCs w:val="20"/>
                <w:lang w:eastAsia="en-GB"/>
              </w:rPr>
              <w:t>87%</w:t>
            </w:r>
          </w:p>
        </w:tc>
      </w:tr>
      <w:tr w:rsidRPr="00B7014C" w:rsidR="002B13AF" w:rsidTr="00A93899" w14:paraId="1235BDA5" w14:textId="77777777">
        <w:trPr>
          <w:trHeight w:val="300"/>
        </w:trPr>
        <w:tc>
          <w:tcPr>
            <w:tcW w:w="687" w:type="pct"/>
            <w:shd w:val="clear" w:color="auto" w:fill="auto"/>
            <w:noWrap/>
            <w:vAlign w:val="center"/>
            <w:hideMark/>
          </w:tcPr>
          <w:p w:rsidRPr="00B7014C" w:rsidR="002B13AF" w:rsidP="002B13AF" w:rsidRDefault="002B13AF" w14:paraId="421C4C56" w14:textId="77777777">
            <w:pPr>
              <w:jc w:val="center"/>
              <w:rPr>
                <w:color w:val="000000"/>
                <w:sz w:val="20"/>
                <w:szCs w:val="20"/>
                <w:lang w:eastAsia="en-GB"/>
              </w:rPr>
            </w:pPr>
            <w:r w:rsidRPr="00B7014C">
              <w:rPr>
                <w:color w:val="000000"/>
                <w:sz w:val="20"/>
                <w:szCs w:val="20"/>
                <w:lang w:eastAsia="en-GB"/>
              </w:rPr>
              <w:t>May-17</w:t>
            </w:r>
          </w:p>
        </w:tc>
        <w:tc>
          <w:tcPr>
            <w:tcW w:w="919" w:type="pct"/>
            <w:shd w:val="clear" w:color="auto" w:fill="auto"/>
            <w:noWrap/>
            <w:vAlign w:val="center"/>
            <w:hideMark/>
          </w:tcPr>
          <w:p w:rsidRPr="00B7014C" w:rsidR="002B13AF" w:rsidP="002B13AF" w:rsidRDefault="002B13AF" w14:paraId="52A96811" w14:textId="77777777">
            <w:pPr>
              <w:jc w:val="center"/>
              <w:rPr>
                <w:color w:val="000000"/>
                <w:sz w:val="20"/>
                <w:szCs w:val="20"/>
                <w:lang w:eastAsia="en-GB"/>
              </w:rPr>
            </w:pPr>
            <w:r w:rsidRPr="00B7014C">
              <w:rPr>
                <w:color w:val="000000"/>
                <w:sz w:val="20"/>
                <w:szCs w:val="20"/>
                <w:lang w:eastAsia="en-GB"/>
              </w:rPr>
              <w:t>2,761</w:t>
            </w:r>
          </w:p>
        </w:tc>
        <w:tc>
          <w:tcPr>
            <w:tcW w:w="1149" w:type="pct"/>
            <w:shd w:val="clear" w:color="auto" w:fill="auto"/>
            <w:noWrap/>
            <w:vAlign w:val="center"/>
            <w:hideMark/>
          </w:tcPr>
          <w:p w:rsidRPr="00B7014C" w:rsidR="002B13AF" w:rsidP="002B13AF" w:rsidRDefault="002B13AF" w14:paraId="480A326F" w14:textId="77777777">
            <w:pPr>
              <w:jc w:val="center"/>
              <w:rPr>
                <w:color w:val="000000"/>
                <w:sz w:val="20"/>
                <w:szCs w:val="20"/>
                <w:lang w:eastAsia="en-GB"/>
              </w:rPr>
            </w:pPr>
            <w:r w:rsidRPr="00B7014C">
              <w:rPr>
                <w:color w:val="000000"/>
                <w:sz w:val="20"/>
                <w:szCs w:val="20"/>
                <w:lang w:eastAsia="en-GB"/>
              </w:rPr>
              <w:t>Oct-17</w:t>
            </w:r>
          </w:p>
        </w:tc>
        <w:tc>
          <w:tcPr>
            <w:tcW w:w="1325" w:type="pct"/>
            <w:shd w:val="clear" w:color="auto" w:fill="auto"/>
            <w:noWrap/>
            <w:vAlign w:val="center"/>
            <w:hideMark/>
          </w:tcPr>
          <w:p w:rsidRPr="00B7014C" w:rsidR="002B13AF" w:rsidP="002B13AF" w:rsidRDefault="002B13AF" w14:paraId="4A3DB97F" w14:textId="77777777">
            <w:pPr>
              <w:jc w:val="center"/>
              <w:rPr>
                <w:color w:val="000000"/>
                <w:sz w:val="20"/>
                <w:szCs w:val="20"/>
                <w:lang w:eastAsia="en-GB"/>
              </w:rPr>
            </w:pPr>
            <w:r w:rsidRPr="00B7014C">
              <w:rPr>
                <w:color w:val="000000"/>
                <w:sz w:val="20"/>
                <w:szCs w:val="20"/>
                <w:lang w:eastAsia="en-GB"/>
              </w:rPr>
              <w:t>2,348</w:t>
            </w:r>
          </w:p>
        </w:tc>
        <w:tc>
          <w:tcPr>
            <w:tcW w:w="919" w:type="pct"/>
            <w:shd w:val="clear" w:color="auto" w:fill="auto"/>
            <w:noWrap/>
            <w:vAlign w:val="center"/>
            <w:hideMark/>
          </w:tcPr>
          <w:p w:rsidRPr="00B7014C" w:rsidR="002B13AF" w:rsidP="002B13AF" w:rsidRDefault="002B13AF" w14:paraId="3D020990" w14:textId="77777777">
            <w:pPr>
              <w:jc w:val="center"/>
              <w:rPr>
                <w:color w:val="000000"/>
                <w:sz w:val="20"/>
                <w:szCs w:val="20"/>
                <w:lang w:eastAsia="en-GB"/>
              </w:rPr>
            </w:pPr>
            <w:r w:rsidRPr="00B7014C">
              <w:rPr>
                <w:color w:val="000000"/>
                <w:sz w:val="20"/>
                <w:szCs w:val="20"/>
                <w:lang w:eastAsia="en-GB"/>
              </w:rPr>
              <w:t>85%</w:t>
            </w:r>
          </w:p>
        </w:tc>
      </w:tr>
      <w:tr w:rsidRPr="00B7014C" w:rsidR="002B13AF" w:rsidTr="00A93899" w14:paraId="0EAFC4FA" w14:textId="77777777">
        <w:trPr>
          <w:trHeight w:val="300"/>
        </w:trPr>
        <w:tc>
          <w:tcPr>
            <w:tcW w:w="687" w:type="pct"/>
            <w:shd w:val="clear" w:color="auto" w:fill="auto"/>
            <w:noWrap/>
            <w:vAlign w:val="center"/>
            <w:hideMark/>
          </w:tcPr>
          <w:p w:rsidRPr="00B7014C" w:rsidR="002B13AF" w:rsidP="002B13AF" w:rsidRDefault="002B13AF" w14:paraId="32B91EBC" w14:textId="77777777">
            <w:pPr>
              <w:jc w:val="center"/>
              <w:rPr>
                <w:color w:val="000000"/>
                <w:sz w:val="20"/>
                <w:szCs w:val="20"/>
                <w:lang w:eastAsia="en-GB"/>
              </w:rPr>
            </w:pPr>
            <w:r w:rsidRPr="00B7014C">
              <w:rPr>
                <w:color w:val="000000"/>
                <w:sz w:val="20"/>
                <w:szCs w:val="20"/>
                <w:lang w:eastAsia="en-GB"/>
              </w:rPr>
              <w:t>May-18</w:t>
            </w:r>
          </w:p>
        </w:tc>
        <w:tc>
          <w:tcPr>
            <w:tcW w:w="919" w:type="pct"/>
            <w:shd w:val="clear" w:color="auto" w:fill="auto"/>
            <w:noWrap/>
            <w:vAlign w:val="center"/>
            <w:hideMark/>
          </w:tcPr>
          <w:p w:rsidRPr="00B7014C" w:rsidR="002B13AF" w:rsidP="002B13AF" w:rsidRDefault="002B13AF" w14:paraId="02DCEA31" w14:textId="77777777">
            <w:pPr>
              <w:jc w:val="center"/>
              <w:rPr>
                <w:color w:val="000000"/>
                <w:sz w:val="20"/>
                <w:szCs w:val="20"/>
                <w:lang w:eastAsia="en-GB"/>
              </w:rPr>
            </w:pPr>
            <w:r w:rsidRPr="00B7014C">
              <w:rPr>
                <w:color w:val="000000"/>
                <w:sz w:val="20"/>
                <w:szCs w:val="20"/>
                <w:lang w:eastAsia="en-GB"/>
              </w:rPr>
              <w:t>2,791</w:t>
            </w:r>
          </w:p>
        </w:tc>
        <w:tc>
          <w:tcPr>
            <w:tcW w:w="1149" w:type="pct"/>
            <w:shd w:val="clear" w:color="auto" w:fill="auto"/>
            <w:noWrap/>
            <w:vAlign w:val="center"/>
            <w:hideMark/>
          </w:tcPr>
          <w:p w:rsidRPr="00B7014C" w:rsidR="002B13AF" w:rsidP="002B13AF" w:rsidRDefault="002B13AF" w14:paraId="70110FBF" w14:textId="77777777">
            <w:pPr>
              <w:jc w:val="center"/>
              <w:rPr>
                <w:color w:val="000000"/>
                <w:sz w:val="20"/>
                <w:szCs w:val="20"/>
                <w:lang w:eastAsia="en-GB"/>
              </w:rPr>
            </w:pPr>
            <w:r w:rsidRPr="00B7014C">
              <w:rPr>
                <w:color w:val="000000"/>
                <w:sz w:val="20"/>
                <w:szCs w:val="20"/>
                <w:lang w:eastAsia="en-GB"/>
              </w:rPr>
              <w:t>Oct-18</w:t>
            </w:r>
          </w:p>
        </w:tc>
        <w:tc>
          <w:tcPr>
            <w:tcW w:w="1325" w:type="pct"/>
            <w:shd w:val="clear" w:color="auto" w:fill="auto"/>
            <w:noWrap/>
            <w:vAlign w:val="center"/>
            <w:hideMark/>
          </w:tcPr>
          <w:p w:rsidRPr="00B7014C" w:rsidR="002B13AF" w:rsidP="002B13AF" w:rsidRDefault="002B13AF" w14:paraId="59960A33" w14:textId="77777777">
            <w:pPr>
              <w:jc w:val="center"/>
              <w:rPr>
                <w:color w:val="000000"/>
                <w:sz w:val="20"/>
                <w:szCs w:val="20"/>
                <w:lang w:eastAsia="en-GB"/>
              </w:rPr>
            </w:pPr>
            <w:r w:rsidRPr="00B7014C">
              <w:rPr>
                <w:color w:val="000000"/>
                <w:sz w:val="20"/>
                <w:szCs w:val="20"/>
                <w:lang w:eastAsia="en-GB"/>
              </w:rPr>
              <w:t>2,512</w:t>
            </w:r>
          </w:p>
        </w:tc>
        <w:tc>
          <w:tcPr>
            <w:tcW w:w="919" w:type="pct"/>
            <w:shd w:val="clear" w:color="auto" w:fill="auto"/>
            <w:noWrap/>
            <w:vAlign w:val="center"/>
            <w:hideMark/>
          </w:tcPr>
          <w:p w:rsidRPr="00B7014C" w:rsidR="002B13AF" w:rsidP="002B13AF" w:rsidRDefault="002B13AF" w14:paraId="6C122203" w14:textId="77777777">
            <w:pPr>
              <w:jc w:val="center"/>
              <w:rPr>
                <w:color w:val="000000"/>
                <w:sz w:val="20"/>
                <w:szCs w:val="20"/>
                <w:lang w:eastAsia="en-GB"/>
              </w:rPr>
            </w:pPr>
            <w:r w:rsidRPr="00B7014C">
              <w:rPr>
                <w:color w:val="000000"/>
                <w:sz w:val="20"/>
                <w:szCs w:val="20"/>
                <w:lang w:eastAsia="en-GB"/>
              </w:rPr>
              <w:t>90%</w:t>
            </w:r>
          </w:p>
        </w:tc>
      </w:tr>
      <w:tr w:rsidRPr="00B7014C" w:rsidR="002B13AF" w:rsidTr="00A93899" w14:paraId="6E091D50" w14:textId="77777777">
        <w:trPr>
          <w:trHeight w:val="300"/>
        </w:trPr>
        <w:tc>
          <w:tcPr>
            <w:tcW w:w="687" w:type="pct"/>
            <w:shd w:val="clear" w:color="auto" w:fill="auto"/>
            <w:noWrap/>
            <w:vAlign w:val="center"/>
            <w:hideMark/>
          </w:tcPr>
          <w:p w:rsidRPr="00B7014C" w:rsidR="002B13AF" w:rsidP="002B13AF" w:rsidRDefault="002B13AF" w14:paraId="08247647" w14:textId="77777777">
            <w:pPr>
              <w:jc w:val="center"/>
              <w:rPr>
                <w:color w:val="000000"/>
                <w:sz w:val="20"/>
                <w:szCs w:val="20"/>
                <w:lang w:eastAsia="en-GB"/>
              </w:rPr>
            </w:pPr>
            <w:r w:rsidRPr="00B7014C">
              <w:rPr>
                <w:color w:val="000000"/>
                <w:sz w:val="20"/>
                <w:szCs w:val="20"/>
                <w:lang w:eastAsia="en-GB"/>
              </w:rPr>
              <w:t>May-19</w:t>
            </w:r>
          </w:p>
        </w:tc>
        <w:tc>
          <w:tcPr>
            <w:tcW w:w="919" w:type="pct"/>
            <w:shd w:val="clear" w:color="auto" w:fill="auto"/>
            <w:noWrap/>
            <w:vAlign w:val="center"/>
            <w:hideMark/>
          </w:tcPr>
          <w:p w:rsidRPr="00B7014C" w:rsidR="002B13AF" w:rsidP="002B13AF" w:rsidRDefault="002B13AF" w14:paraId="79DA31E5" w14:textId="77777777">
            <w:pPr>
              <w:jc w:val="center"/>
              <w:rPr>
                <w:color w:val="000000"/>
                <w:sz w:val="20"/>
                <w:szCs w:val="20"/>
                <w:lang w:eastAsia="en-GB"/>
              </w:rPr>
            </w:pPr>
            <w:r w:rsidRPr="00B7014C">
              <w:rPr>
                <w:color w:val="000000"/>
                <w:sz w:val="20"/>
                <w:szCs w:val="20"/>
                <w:lang w:eastAsia="en-GB"/>
              </w:rPr>
              <w:t>2,972</w:t>
            </w:r>
          </w:p>
        </w:tc>
        <w:tc>
          <w:tcPr>
            <w:tcW w:w="1149" w:type="pct"/>
            <w:shd w:val="clear" w:color="auto" w:fill="auto"/>
            <w:vAlign w:val="center"/>
            <w:hideMark/>
          </w:tcPr>
          <w:p w:rsidRPr="00B7014C" w:rsidR="002B13AF" w:rsidP="002B13AF" w:rsidRDefault="002B13AF" w14:paraId="42B90F8F" w14:textId="77777777">
            <w:pPr>
              <w:jc w:val="center"/>
              <w:rPr>
                <w:color w:val="000000"/>
                <w:sz w:val="20"/>
                <w:szCs w:val="20"/>
                <w:lang w:eastAsia="en-GB"/>
              </w:rPr>
            </w:pPr>
            <w:r w:rsidRPr="00B7014C">
              <w:rPr>
                <w:color w:val="000000"/>
                <w:sz w:val="20"/>
                <w:szCs w:val="20"/>
                <w:lang w:eastAsia="en-GB"/>
              </w:rPr>
              <w:t>Oct-19</w:t>
            </w:r>
          </w:p>
        </w:tc>
        <w:tc>
          <w:tcPr>
            <w:tcW w:w="1325" w:type="pct"/>
            <w:shd w:val="clear" w:color="auto" w:fill="auto"/>
            <w:noWrap/>
            <w:vAlign w:val="center"/>
            <w:hideMark/>
          </w:tcPr>
          <w:p w:rsidRPr="00B7014C" w:rsidR="002B13AF" w:rsidP="002B13AF" w:rsidRDefault="002B13AF" w14:paraId="5096B40B" w14:textId="77777777">
            <w:pPr>
              <w:jc w:val="center"/>
              <w:rPr>
                <w:color w:val="000000"/>
                <w:sz w:val="20"/>
                <w:szCs w:val="20"/>
                <w:lang w:eastAsia="en-GB"/>
              </w:rPr>
            </w:pPr>
            <w:r w:rsidRPr="00B7014C">
              <w:rPr>
                <w:color w:val="000000"/>
                <w:sz w:val="20"/>
                <w:szCs w:val="20"/>
                <w:lang w:eastAsia="en-GB"/>
              </w:rPr>
              <w:t>2,659</w:t>
            </w:r>
          </w:p>
        </w:tc>
        <w:tc>
          <w:tcPr>
            <w:tcW w:w="919" w:type="pct"/>
            <w:shd w:val="clear" w:color="auto" w:fill="auto"/>
            <w:noWrap/>
            <w:vAlign w:val="center"/>
            <w:hideMark/>
          </w:tcPr>
          <w:p w:rsidRPr="00B7014C" w:rsidR="002B13AF" w:rsidP="002B13AF" w:rsidRDefault="002B13AF" w14:paraId="4085F4B2" w14:textId="77777777">
            <w:pPr>
              <w:jc w:val="center"/>
              <w:rPr>
                <w:color w:val="000000"/>
                <w:sz w:val="20"/>
                <w:szCs w:val="20"/>
                <w:lang w:eastAsia="en-GB"/>
              </w:rPr>
            </w:pPr>
            <w:r w:rsidRPr="00B7014C">
              <w:rPr>
                <w:color w:val="000000"/>
                <w:sz w:val="20"/>
                <w:szCs w:val="20"/>
                <w:lang w:eastAsia="en-GB"/>
              </w:rPr>
              <w:t>89%</w:t>
            </w:r>
          </w:p>
        </w:tc>
      </w:tr>
      <w:tr w:rsidRPr="00B7014C" w:rsidR="00A93899" w:rsidTr="00A93899" w14:paraId="035EFFAF" w14:textId="77777777">
        <w:trPr>
          <w:trHeight w:val="300"/>
        </w:trPr>
        <w:tc>
          <w:tcPr>
            <w:tcW w:w="687" w:type="pct"/>
            <w:shd w:val="clear" w:color="auto" w:fill="auto"/>
            <w:noWrap/>
            <w:vAlign w:val="center"/>
          </w:tcPr>
          <w:p w:rsidRPr="00B7014C" w:rsidR="00A93899" w:rsidP="002B13AF" w:rsidRDefault="00A93899" w14:paraId="52494C4C" w14:textId="6AB3DB26">
            <w:pPr>
              <w:jc w:val="center"/>
              <w:rPr>
                <w:color w:val="000000"/>
                <w:sz w:val="20"/>
                <w:szCs w:val="20"/>
                <w:lang w:eastAsia="en-GB"/>
              </w:rPr>
            </w:pPr>
            <w:r w:rsidRPr="00B7014C">
              <w:rPr>
                <w:color w:val="000000"/>
                <w:sz w:val="20"/>
                <w:szCs w:val="20"/>
                <w:lang w:eastAsia="en-GB"/>
              </w:rPr>
              <w:t>Jan-20</w:t>
            </w:r>
          </w:p>
        </w:tc>
        <w:tc>
          <w:tcPr>
            <w:tcW w:w="919" w:type="pct"/>
            <w:shd w:val="clear" w:color="auto" w:fill="auto"/>
            <w:noWrap/>
            <w:vAlign w:val="center"/>
          </w:tcPr>
          <w:p w:rsidRPr="00B7014C" w:rsidR="00A93899" w:rsidP="002B13AF" w:rsidRDefault="00E7700E" w14:paraId="6100EFA0" w14:textId="62E9B53D">
            <w:pPr>
              <w:jc w:val="center"/>
              <w:rPr>
                <w:color w:val="000000"/>
                <w:sz w:val="20"/>
                <w:szCs w:val="20"/>
                <w:lang w:eastAsia="en-GB"/>
              </w:rPr>
            </w:pPr>
            <w:r w:rsidRPr="00B7014C">
              <w:rPr>
                <w:color w:val="000000"/>
                <w:sz w:val="20"/>
                <w:szCs w:val="20"/>
                <w:lang w:eastAsia="en-GB"/>
              </w:rPr>
              <w:t>3,038</w:t>
            </w:r>
          </w:p>
        </w:tc>
        <w:tc>
          <w:tcPr>
            <w:tcW w:w="1149" w:type="pct"/>
            <w:shd w:val="clear" w:color="auto" w:fill="auto"/>
            <w:vAlign w:val="center"/>
          </w:tcPr>
          <w:p w:rsidRPr="00B7014C" w:rsidR="00A93899" w:rsidP="002B13AF" w:rsidRDefault="00E7700E" w14:paraId="7BF5BC2A" w14:textId="0C93251B">
            <w:pPr>
              <w:jc w:val="center"/>
              <w:rPr>
                <w:color w:val="000000"/>
                <w:sz w:val="20"/>
                <w:szCs w:val="20"/>
                <w:lang w:eastAsia="en-GB"/>
              </w:rPr>
            </w:pPr>
            <w:r w:rsidRPr="00B7014C">
              <w:rPr>
                <w:color w:val="000000"/>
                <w:sz w:val="20"/>
                <w:szCs w:val="20"/>
                <w:lang w:eastAsia="en-GB"/>
              </w:rPr>
              <w:t>Oct-20</w:t>
            </w:r>
          </w:p>
        </w:tc>
        <w:tc>
          <w:tcPr>
            <w:tcW w:w="1325" w:type="pct"/>
            <w:shd w:val="clear" w:color="auto" w:fill="auto"/>
            <w:noWrap/>
            <w:vAlign w:val="center"/>
          </w:tcPr>
          <w:p w:rsidRPr="00B7014C" w:rsidR="00A93899" w:rsidP="002B13AF" w:rsidRDefault="00E7700E" w14:paraId="1D409ECE" w14:textId="1A2BE571">
            <w:pPr>
              <w:jc w:val="center"/>
              <w:rPr>
                <w:color w:val="000000"/>
                <w:sz w:val="20"/>
                <w:szCs w:val="20"/>
                <w:lang w:eastAsia="en-GB"/>
              </w:rPr>
            </w:pPr>
            <w:r w:rsidRPr="00B7014C">
              <w:rPr>
                <w:color w:val="000000"/>
                <w:sz w:val="20"/>
                <w:szCs w:val="20"/>
                <w:lang w:eastAsia="en-GB"/>
              </w:rPr>
              <w:t>2,618</w:t>
            </w:r>
          </w:p>
        </w:tc>
        <w:tc>
          <w:tcPr>
            <w:tcW w:w="919" w:type="pct"/>
            <w:shd w:val="clear" w:color="auto" w:fill="auto"/>
            <w:noWrap/>
            <w:vAlign w:val="center"/>
          </w:tcPr>
          <w:p w:rsidRPr="00B7014C" w:rsidR="00A93899" w:rsidP="002B13AF" w:rsidRDefault="00B846CB" w14:paraId="53190EF0" w14:textId="5EF5F47F">
            <w:pPr>
              <w:jc w:val="center"/>
              <w:rPr>
                <w:color w:val="000000"/>
                <w:sz w:val="20"/>
                <w:szCs w:val="20"/>
                <w:lang w:eastAsia="en-GB"/>
              </w:rPr>
            </w:pPr>
            <w:r w:rsidRPr="00B7014C">
              <w:rPr>
                <w:color w:val="000000"/>
                <w:sz w:val="20"/>
                <w:szCs w:val="20"/>
                <w:lang w:eastAsia="en-GB"/>
              </w:rPr>
              <w:t>86%</w:t>
            </w:r>
          </w:p>
        </w:tc>
      </w:tr>
    </w:tbl>
    <w:p w:rsidRPr="00B7014C" w:rsidR="00A16979" w:rsidP="00A16979" w:rsidRDefault="00A16979" w14:paraId="25AC6ADC" w14:textId="77777777">
      <w:pPr>
        <w:spacing w:after="20" w:line="300" w:lineRule="exact"/>
        <w:jc w:val="both"/>
        <w:rPr>
          <w:bCs/>
          <w:sz w:val="20"/>
          <w:szCs w:val="20"/>
        </w:rPr>
      </w:pPr>
      <w:r w:rsidRPr="00B7014C">
        <w:rPr>
          <w:bCs/>
          <w:sz w:val="20"/>
          <w:szCs w:val="20"/>
        </w:rPr>
        <w:t xml:space="preserve">*The numbers on roll do not include special school </w:t>
      </w:r>
      <w:proofErr w:type="gramStart"/>
      <w:r w:rsidRPr="00B7014C">
        <w:rPr>
          <w:bCs/>
          <w:sz w:val="20"/>
          <w:szCs w:val="20"/>
        </w:rPr>
        <w:t>pupils;</w:t>
      </w:r>
      <w:proofErr w:type="gramEnd"/>
    </w:p>
    <w:p w:rsidRPr="00B7014C" w:rsidR="00A16979" w:rsidP="00A16979" w:rsidRDefault="00A16979" w14:paraId="628C3018" w14:textId="709C9047">
      <w:pPr>
        <w:spacing w:after="20" w:line="300" w:lineRule="exact"/>
        <w:jc w:val="both"/>
        <w:rPr>
          <w:bCs/>
          <w:sz w:val="20"/>
          <w:szCs w:val="20"/>
        </w:rPr>
      </w:pPr>
      <w:r w:rsidRPr="00B7014C">
        <w:rPr>
          <w:bCs/>
          <w:sz w:val="20"/>
          <w:szCs w:val="20"/>
        </w:rPr>
        <w:t>**The October 2011 data was not available for Academies, so the January 2012 school census was used instead.</w:t>
      </w:r>
    </w:p>
    <w:p w:rsidRPr="00B7014C" w:rsidR="0070674A" w:rsidP="0070674A" w:rsidRDefault="0070674A" w14:paraId="65079D17" w14:textId="77777777">
      <w:pPr>
        <w:spacing w:line="300" w:lineRule="exact"/>
        <w:jc w:val="both"/>
        <w:rPr>
          <w:bCs/>
          <w:sz w:val="20"/>
          <w:szCs w:val="20"/>
        </w:rPr>
      </w:pPr>
      <w:r w:rsidRPr="00B7014C">
        <w:rPr>
          <w:bCs/>
          <w:sz w:val="20"/>
          <w:szCs w:val="20"/>
        </w:rPr>
        <w:t>***The May 2020 school census was not collected due to the Covid-19 pandemic.</w:t>
      </w:r>
    </w:p>
    <w:p w:rsidRPr="00B7014C" w:rsidR="00A16979" w:rsidP="00A16979" w:rsidRDefault="00A16979" w14:paraId="371DEF12" w14:textId="77777777">
      <w:pPr>
        <w:rPr>
          <w:sz w:val="16"/>
          <w:szCs w:val="16"/>
        </w:rPr>
      </w:pPr>
    </w:p>
    <w:p w:rsidRPr="00A16979" w:rsidR="007B7BAC" w:rsidP="00A16979" w:rsidRDefault="00A16979" w14:paraId="224D8BED" w14:textId="3F170A8B">
      <w:r w:rsidRPr="00B7014C">
        <w:t>If you compa</w:t>
      </w:r>
      <w:r w:rsidRPr="00B7014C" w:rsidR="00404743">
        <w:t>re the transfer rate in table 9</w:t>
      </w:r>
      <w:r w:rsidRPr="00B7014C">
        <w:t xml:space="preserve"> an</w:t>
      </w:r>
      <w:r w:rsidRPr="00B7014C" w:rsidR="00404743">
        <w:t>d the retention rate in table 10</w:t>
      </w:r>
      <w:r w:rsidRPr="00B7014C">
        <w:t>, this indicates that some of the 3</w:t>
      </w:r>
      <w:r w:rsidRPr="00B7014C" w:rsidR="00842CF9">
        <w:t>0</w:t>
      </w:r>
      <w:r w:rsidRPr="00B7014C">
        <w:t xml:space="preserve">% of pupils who did not transfer at the end of Year 6 from a Harrow Primary School into Year 7 of a Harrow secondary school are replaced by children from outside the </w:t>
      </w:r>
      <w:r w:rsidRPr="00B7014C">
        <w:lastRenderedPageBreak/>
        <w:t>borough. The retention rate will be monitored closely to identify any emerging trends arising as a result of changes to secondary school provision in Harrow with the opening of new and additional secondary places.</w:t>
      </w:r>
    </w:p>
    <w:sectPr w:rsidRPr="00A16979" w:rsidR="007B7BAC" w:rsidSect="00655C19">
      <w:headerReference w:type="default" r:id="rId19"/>
      <w:footerReference w:type="default" r:id="rId20"/>
      <w:pgSz w:w="11906" w:h="16838" w:orient="portrait" w:code="9"/>
      <w:pgMar w:top="851" w:right="851" w:bottom="851" w:left="851"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607A" w:rsidP="007F0A1C" w:rsidRDefault="0018607A" w14:paraId="1632806D" w14:textId="77777777">
      <w:r>
        <w:separator/>
      </w:r>
    </w:p>
  </w:endnote>
  <w:endnote w:type="continuationSeparator" w:id="0">
    <w:p w:rsidR="0018607A" w:rsidP="007F0A1C" w:rsidRDefault="0018607A" w14:paraId="7A4F0D1D" w14:textId="77777777">
      <w:r>
        <w:continuationSeparator/>
      </w:r>
    </w:p>
  </w:endnote>
  <w:endnote w:type="continuationNotice" w:id="1">
    <w:p w:rsidR="0018607A" w:rsidRDefault="0018607A" w14:paraId="1AE2B4D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Form Sans">
    <w:altName w:val="Bell MT"/>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109460"/>
      <w:docPartObj>
        <w:docPartGallery w:val="Page Numbers (Bottom of Page)"/>
        <w:docPartUnique/>
      </w:docPartObj>
    </w:sdtPr>
    <w:sdtEndPr>
      <w:rPr>
        <w:noProof/>
      </w:rPr>
    </w:sdtEndPr>
    <w:sdtContent>
      <w:p w:rsidR="00FA054D" w:rsidRDefault="00FA054D" w14:paraId="6C8CC974" w14:textId="14B6454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FA054D" w:rsidRDefault="00FA054D" w14:paraId="4A9BE3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607A" w:rsidP="007F0A1C" w:rsidRDefault="0018607A" w14:paraId="6B87A5F9" w14:textId="77777777">
      <w:r>
        <w:separator/>
      </w:r>
    </w:p>
  </w:footnote>
  <w:footnote w:type="continuationSeparator" w:id="0">
    <w:p w:rsidR="0018607A" w:rsidP="007F0A1C" w:rsidRDefault="0018607A" w14:paraId="21D55FC3" w14:textId="77777777">
      <w:r>
        <w:continuationSeparator/>
      </w:r>
    </w:p>
  </w:footnote>
  <w:footnote w:type="continuationNotice" w:id="1">
    <w:p w:rsidR="0018607A" w:rsidRDefault="0018607A" w14:paraId="2CCF53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054D" w:rsidP="00851042" w:rsidRDefault="00FA054D" w14:paraId="713EDAE0" w14:textId="02A67C6E">
    <w:pPr>
      <w:jc w:val="center"/>
    </w:pPr>
    <w:r w:rsidRPr="00D21D75">
      <w:rPr>
        <w:b/>
        <w:i/>
      </w:rPr>
      <w:t>School Roll Projections 20</w:t>
    </w:r>
    <w:r>
      <w:rPr>
        <w:b/>
        <w:i/>
      </w:rPr>
      <w:t>21</w:t>
    </w:r>
    <w:r w:rsidRPr="00D21D75">
      <w:rPr>
        <w:b/>
        <w:i/>
      </w:rPr>
      <w:t>-203</w:t>
    </w:r>
    <w:r w:rsidR="00FC6560">
      <w:rPr>
        <w:b/>
        <w:i/>
      </w:rPr>
      <w:t>3</w:t>
    </w:r>
    <w:r>
      <w:rPr>
        <w:b/>
        <w:i/>
      </w:rPr>
      <w:tab/>
    </w:r>
    <w:r>
      <w:rPr>
        <w:b/>
        <w:i/>
      </w:rPr>
      <w:t xml:space="preserve">                                                                        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15:restartNumberingAfterBreak="0">
    <w:nsid w:val="400B35F3"/>
    <w:multiLevelType w:val="hybridMultilevel"/>
    <w:tmpl w:val="F6D887B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43803BD6"/>
    <w:multiLevelType w:val="hybridMultilevel"/>
    <w:tmpl w:val="43D807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1926434"/>
    <w:multiLevelType w:val="hybridMultilevel"/>
    <w:tmpl w:val="CE24DC5A"/>
    <w:lvl w:ilvl="0" w:tplc="C9A44378">
      <w:start w:val="1"/>
      <w:numFmt w:val="bullet"/>
      <w:pStyle w:val="Heading8"/>
      <w:lvlText w:val=""/>
      <w:lvlJc w:val="left"/>
      <w:pPr>
        <w:tabs>
          <w:tab w:val="num" w:pos="1647"/>
        </w:tabs>
        <w:ind w:left="1647" w:hanging="567"/>
      </w:pPr>
      <w:rPr>
        <w:rFonts w:hint="default" w:ascii="Symbol" w:hAnsi="Symbol"/>
      </w:rPr>
    </w:lvl>
    <w:lvl w:ilvl="1" w:tplc="04090003" w:tentative="1">
      <w:start w:val="1"/>
      <w:numFmt w:val="bullet"/>
      <w:lvlText w:val="o"/>
      <w:lvlJc w:val="left"/>
      <w:pPr>
        <w:tabs>
          <w:tab w:val="num" w:pos="1102"/>
        </w:tabs>
        <w:ind w:left="1102" w:hanging="360"/>
      </w:pPr>
      <w:rPr>
        <w:rFonts w:hint="default" w:ascii="Courier New" w:hAnsi="Courier New"/>
      </w:rPr>
    </w:lvl>
    <w:lvl w:ilvl="2" w:tplc="04090005">
      <w:start w:val="1"/>
      <w:numFmt w:val="bullet"/>
      <w:lvlText w:val=""/>
      <w:lvlJc w:val="left"/>
      <w:pPr>
        <w:tabs>
          <w:tab w:val="num" w:pos="1822"/>
        </w:tabs>
        <w:ind w:left="1822" w:hanging="360"/>
      </w:pPr>
      <w:rPr>
        <w:rFonts w:hint="default" w:ascii="Wingdings" w:hAnsi="Wingdings"/>
      </w:rPr>
    </w:lvl>
    <w:lvl w:ilvl="3" w:tplc="04090001" w:tentative="1">
      <w:start w:val="1"/>
      <w:numFmt w:val="bullet"/>
      <w:lvlText w:val=""/>
      <w:lvlJc w:val="left"/>
      <w:pPr>
        <w:tabs>
          <w:tab w:val="num" w:pos="2542"/>
        </w:tabs>
        <w:ind w:left="2542" w:hanging="360"/>
      </w:pPr>
      <w:rPr>
        <w:rFonts w:hint="default" w:ascii="Symbol" w:hAnsi="Symbol"/>
      </w:rPr>
    </w:lvl>
    <w:lvl w:ilvl="4" w:tplc="04090003" w:tentative="1">
      <w:start w:val="1"/>
      <w:numFmt w:val="bullet"/>
      <w:lvlText w:val="o"/>
      <w:lvlJc w:val="left"/>
      <w:pPr>
        <w:tabs>
          <w:tab w:val="num" w:pos="3262"/>
        </w:tabs>
        <w:ind w:left="3262" w:hanging="360"/>
      </w:pPr>
      <w:rPr>
        <w:rFonts w:hint="default" w:ascii="Courier New" w:hAnsi="Courier New"/>
      </w:rPr>
    </w:lvl>
    <w:lvl w:ilvl="5" w:tplc="04090005" w:tentative="1">
      <w:start w:val="1"/>
      <w:numFmt w:val="bullet"/>
      <w:lvlText w:val=""/>
      <w:lvlJc w:val="left"/>
      <w:pPr>
        <w:tabs>
          <w:tab w:val="num" w:pos="3982"/>
        </w:tabs>
        <w:ind w:left="3982" w:hanging="360"/>
      </w:pPr>
      <w:rPr>
        <w:rFonts w:hint="default" w:ascii="Wingdings" w:hAnsi="Wingdings"/>
      </w:rPr>
    </w:lvl>
    <w:lvl w:ilvl="6" w:tplc="04090001" w:tentative="1">
      <w:start w:val="1"/>
      <w:numFmt w:val="bullet"/>
      <w:lvlText w:val=""/>
      <w:lvlJc w:val="left"/>
      <w:pPr>
        <w:tabs>
          <w:tab w:val="num" w:pos="4702"/>
        </w:tabs>
        <w:ind w:left="4702" w:hanging="360"/>
      </w:pPr>
      <w:rPr>
        <w:rFonts w:hint="default" w:ascii="Symbol" w:hAnsi="Symbol"/>
      </w:rPr>
    </w:lvl>
    <w:lvl w:ilvl="7" w:tplc="04090003" w:tentative="1">
      <w:start w:val="1"/>
      <w:numFmt w:val="bullet"/>
      <w:lvlText w:val="o"/>
      <w:lvlJc w:val="left"/>
      <w:pPr>
        <w:tabs>
          <w:tab w:val="num" w:pos="5422"/>
        </w:tabs>
        <w:ind w:left="5422" w:hanging="360"/>
      </w:pPr>
      <w:rPr>
        <w:rFonts w:hint="default" w:ascii="Courier New" w:hAnsi="Courier New"/>
      </w:rPr>
    </w:lvl>
    <w:lvl w:ilvl="8" w:tplc="04090005" w:tentative="1">
      <w:start w:val="1"/>
      <w:numFmt w:val="bullet"/>
      <w:lvlText w:val=""/>
      <w:lvlJc w:val="left"/>
      <w:pPr>
        <w:tabs>
          <w:tab w:val="num" w:pos="6142"/>
        </w:tabs>
        <w:ind w:left="6142" w:hanging="360"/>
      </w:pPr>
      <w:rPr>
        <w:rFonts w:hint="default" w:ascii="Wingdings" w:hAnsi="Wingdings"/>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hideGrammaticalErrors/>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FE"/>
    <w:rsid w:val="00000880"/>
    <w:rsid w:val="00000D4D"/>
    <w:rsid w:val="00002E7A"/>
    <w:rsid w:val="0000397B"/>
    <w:rsid w:val="00005F21"/>
    <w:rsid w:val="00007D6D"/>
    <w:rsid w:val="00007EC2"/>
    <w:rsid w:val="00020228"/>
    <w:rsid w:val="00031AD3"/>
    <w:rsid w:val="00036C21"/>
    <w:rsid w:val="000379BF"/>
    <w:rsid w:val="00042B31"/>
    <w:rsid w:val="00052136"/>
    <w:rsid w:val="00052DE3"/>
    <w:rsid w:val="00054139"/>
    <w:rsid w:val="00056A6A"/>
    <w:rsid w:val="00061562"/>
    <w:rsid w:val="00063E63"/>
    <w:rsid w:val="00073915"/>
    <w:rsid w:val="0008081B"/>
    <w:rsid w:val="00095EF0"/>
    <w:rsid w:val="000A230D"/>
    <w:rsid w:val="000A590F"/>
    <w:rsid w:val="000B457C"/>
    <w:rsid w:val="000D79D7"/>
    <w:rsid w:val="000D7A1B"/>
    <w:rsid w:val="000F1C3F"/>
    <w:rsid w:val="000F757A"/>
    <w:rsid w:val="000F798E"/>
    <w:rsid w:val="00101C60"/>
    <w:rsid w:val="00107D5B"/>
    <w:rsid w:val="00107EEF"/>
    <w:rsid w:val="00122E51"/>
    <w:rsid w:val="00124013"/>
    <w:rsid w:val="001302C3"/>
    <w:rsid w:val="001340F7"/>
    <w:rsid w:val="001351DF"/>
    <w:rsid w:val="00146643"/>
    <w:rsid w:val="00150528"/>
    <w:rsid w:val="00154B33"/>
    <w:rsid w:val="001571CC"/>
    <w:rsid w:val="00164F3F"/>
    <w:rsid w:val="00167759"/>
    <w:rsid w:val="001700C3"/>
    <w:rsid w:val="00170725"/>
    <w:rsid w:val="00173FFE"/>
    <w:rsid w:val="0018535E"/>
    <w:rsid w:val="0018607A"/>
    <w:rsid w:val="001870B3"/>
    <w:rsid w:val="001902F7"/>
    <w:rsid w:val="00192257"/>
    <w:rsid w:val="001A454E"/>
    <w:rsid w:val="001A73DD"/>
    <w:rsid w:val="001A7C06"/>
    <w:rsid w:val="001B50CE"/>
    <w:rsid w:val="001B7258"/>
    <w:rsid w:val="001C014F"/>
    <w:rsid w:val="001C4BFB"/>
    <w:rsid w:val="001C5794"/>
    <w:rsid w:val="001C7A2D"/>
    <w:rsid w:val="001F1D37"/>
    <w:rsid w:val="001F2933"/>
    <w:rsid w:val="001F2B80"/>
    <w:rsid w:val="001F3931"/>
    <w:rsid w:val="00207FD7"/>
    <w:rsid w:val="002163AC"/>
    <w:rsid w:val="002164FB"/>
    <w:rsid w:val="002205EC"/>
    <w:rsid w:val="00221FD1"/>
    <w:rsid w:val="00222112"/>
    <w:rsid w:val="002225E1"/>
    <w:rsid w:val="00225CC4"/>
    <w:rsid w:val="002268BA"/>
    <w:rsid w:val="002325EA"/>
    <w:rsid w:val="00234723"/>
    <w:rsid w:val="0023509D"/>
    <w:rsid w:val="002406B9"/>
    <w:rsid w:val="002412A9"/>
    <w:rsid w:val="00241ADA"/>
    <w:rsid w:val="00246C36"/>
    <w:rsid w:val="00247870"/>
    <w:rsid w:val="00260DDC"/>
    <w:rsid w:val="0026140F"/>
    <w:rsid w:val="0026369C"/>
    <w:rsid w:val="0027068E"/>
    <w:rsid w:val="00272E02"/>
    <w:rsid w:val="00276414"/>
    <w:rsid w:val="00280D53"/>
    <w:rsid w:val="00281C6F"/>
    <w:rsid w:val="00282D97"/>
    <w:rsid w:val="00286D8F"/>
    <w:rsid w:val="002876D7"/>
    <w:rsid w:val="002A1A1A"/>
    <w:rsid w:val="002A5217"/>
    <w:rsid w:val="002A6892"/>
    <w:rsid w:val="002B1161"/>
    <w:rsid w:val="002B117A"/>
    <w:rsid w:val="002B13AF"/>
    <w:rsid w:val="002B1EB9"/>
    <w:rsid w:val="002B27AE"/>
    <w:rsid w:val="002B302C"/>
    <w:rsid w:val="002B5ECE"/>
    <w:rsid w:val="002C3B5A"/>
    <w:rsid w:val="002C3C41"/>
    <w:rsid w:val="002C5F8F"/>
    <w:rsid w:val="002C7774"/>
    <w:rsid w:val="002D19B2"/>
    <w:rsid w:val="002D2DBD"/>
    <w:rsid w:val="002D68B1"/>
    <w:rsid w:val="002D7612"/>
    <w:rsid w:val="002D7781"/>
    <w:rsid w:val="002E175B"/>
    <w:rsid w:val="002E2F8A"/>
    <w:rsid w:val="002E3B11"/>
    <w:rsid w:val="002F1F7D"/>
    <w:rsid w:val="002F35E8"/>
    <w:rsid w:val="002F77C2"/>
    <w:rsid w:val="00301FD1"/>
    <w:rsid w:val="003021E8"/>
    <w:rsid w:val="00306ADE"/>
    <w:rsid w:val="00310351"/>
    <w:rsid w:val="003132ED"/>
    <w:rsid w:val="00315E75"/>
    <w:rsid w:val="00323132"/>
    <w:rsid w:val="0032664C"/>
    <w:rsid w:val="00327454"/>
    <w:rsid w:val="003317A3"/>
    <w:rsid w:val="00336087"/>
    <w:rsid w:val="00340B1D"/>
    <w:rsid w:val="003418C9"/>
    <w:rsid w:val="003446F4"/>
    <w:rsid w:val="00344B92"/>
    <w:rsid w:val="00351C46"/>
    <w:rsid w:val="00357616"/>
    <w:rsid w:val="00362818"/>
    <w:rsid w:val="0036362B"/>
    <w:rsid w:val="00363D26"/>
    <w:rsid w:val="003661DF"/>
    <w:rsid w:val="00374EF4"/>
    <w:rsid w:val="003779C4"/>
    <w:rsid w:val="00383003"/>
    <w:rsid w:val="00385B61"/>
    <w:rsid w:val="00385E01"/>
    <w:rsid w:val="003903B5"/>
    <w:rsid w:val="0039073A"/>
    <w:rsid w:val="003917FE"/>
    <w:rsid w:val="00392B42"/>
    <w:rsid w:val="003942BE"/>
    <w:rsid w:val="003965A8"/>
    <w:rsid w:val="00397F84"/>
    <w:rsid w:val="003A3E3F"/>
    <w:rsid w:val="003A7804"/>
    <w:rsid w:val="003B036C"/>
    <w:rsid w:val="003B0E4E"/>
    <w:rsid w:val="003C29B8"/>
    <w:rsid w:val="003C5382"/>
    <w:rsid w:val="003D1C1E"/>
    <w:rsid w:val="003D2C1D"/>
    <w:rsid w:val="003D4ED9"/>
    <w:rsid w:val="003D75A7"/>
    <w:rsid w:val="003E3617"/>
    <w:rsid w:val="003F1685"/>
    <w:rsid w:val="003F184A"/>
    <w:rsid w:val="003F6C75"/>
    <w:rsid w:val="0040161F"/>
    <w:rsid w:val="00403C90"/>
    <w:rsid w:val="00404743"/>
    <w:rsid w:val="0040646A"/>
    <w:rsid w:val="00406CBD"/>
    <w:rsid w:val="00407BB8"/>
    <w:rsid w:val="00411DD7"/>
    <w:rsid w:val="00414803"/>
    <w:rsid w:val="00421B06"/>
    <w:rsid w:val="004236D9"/>
    <w:rsid w:val="00423A76"/>
    <w:rsid w:val="00430886"/>
    <w:rsid w:val="004311BA"/>
    <w:rsid w:val="00433111"/>
    <w:rsid w:val="0043344A"/>
    <w:rsid w:val="0043795F"/>
    <w:rsid w:val="004423BD"/>
    <w:rsid w:val="00450FF4"/>
    <w:rsid w:val="00454683"/>
    <w:rsid w:val="00462D76"/>
    <w:rsid w:val="00463908"/>
    <w:rsid w:val="00463ADB"/>
    <w:rsid w:val="00463EA8"/>
    <w:rsid w:val="0047143F"/>
    <w:rsid w:val="00474ED6"/>
    <w:rsid w:val="00480FD8"/>
    <w:rsid w:val="00482ACA"/>
    <w:rsid w:val="00483A12"/>
    <w:rsid w:val="00484376"/>
    <w:rsid w:val="00486BAE"/>
    <w:rsid w:val="00486E4D"/>
    <w:rsid w:val="00487709"/>
    <w:rsid w:val="0049077D"/>
    <w:rsid w:val="004A0C1D"/>
    <w:rsid w:val="004A3E7D"/>
    <w:rsid w:val="004A63CB"/>
    <w:rsid w:val="004B737E"/>
    <w:rsid w:val="004C3AE5"/>
    <w:rsid w:val="004C6BC5"/>
    <w:rsid w:val="004C7E52"/>
    <w:rsid w:val="004D48CF"/>
    <w:rsid w:val="004D749F"/>
    <w:rsid w:val="004E09D8"/>
    <w:rsid w:val="004E0C1C"/>
    <w:rsid w:val="004E28C7"/>
    <w:rsid w:val="004E4D7E"/>
    <w:rsid w:val="004E5CE2"/>
    <w:rsid w:val="004E7711"/>
    <w:rsid w:val="004F2BB7"/>
    <w:rsid w:val="004F455E"/>
    <w:rsid w:val="004F5C6E"/>
    <w:rsid w:val="0050616F"/>
    <w:rsid w:val="00515FAD"/>
    <w:rsid w:val="00516BFE"/>
    <w:rsid w:val="00517C73"/>
    <w:rsid w:val="005235A5"/>
    <w:rsid w:val="00525310"/>
    <w:rsid w:val="00526B4E"/>
    <w:rsid w:val="00526CA6"/>
    <w:rsid w:val="00531695"/>
    <w:rsid w:val="005330FE"/>
    <w:rsid w:val="005415C9"/>
    <w:rsid w:val="00544F0B"/>
    <w:rsid w:val="005500F7"/>
    <w:rsid w:val="00550E5F"/>
    <w:rsid w:val="00554960"/>
    <w:rsid w:val="00561F99"/>
    <w:rsid w:val="005666F7"/>
    <w:rsid w:val="00574A8F"/>
    <w:rsid w:val="00577554"/>
    <w:rsid w:val="00581F24"/>
    <w:rsid w:val="00584D93"/>
    <w:rsid w:val="00587FC8"/>
    <w:rsid w:val="00591A6D"/>
    <w:rsid w:val="00596FE5"/>
    <w:rsid w:val="0059729A"/>
    <w:rsid w:val="005A5DAF"/>
    <w:rsid w:val="005B2A28"/>
    <w:rsid w:val="005B4317"/>
    <w:rsid w:val="005B50EA"/>
    <w:rsid w:val="005B5677"/>
    <w:rsid w:val="005C2543"/>
    <w:rsid w:val="005C73C2"/>
    <w:rsid w:val="005D1564"/>
    <w:rsid w:val="005D2B3F"/>
    <w:rsid w:val="005D46A8"/>
    <w:rsid w:val="005D4D86"/>
    <w:rsid w:val="005D6615"/>
    <w:rsid w:val="005D774C"/>
    <w:rsid w:val="005E2C8C"/>
    <w:rsid w:val="005E310E"/>
    <w:rsid w:val="005F1FA6"/>
    <w:rsid w:val="005F2EDE"/>
    <w:rsid w:val="005F44BF"/>
    <w:rsid w:val="00603E1D"/>
    <w:rsid w:val="00604366"/>
    <w:rsid w:val="00604810"/>
    <w:rsid w:val="00613BF5"/>
    <w:rsid w:val="00615597"/>
    <w:rsid w:val="00621FBB"/>
    <w:rsid w:val="0062764B"/>
    <w:rsid w:val="0063663A"/>
    <w:rsid w:val="006374FF"/>
    <w:rsid w:val="006410A6"/>
    <w:rsid w:val="006434F5"/>
    <w:rsid w:val="00643FA9"/>
    <w:rsid w:val="0064512A"/>
    <w:rsid w:val="006517E2"/>
    <w:rsid w:val="0065290A"/>
    <w:rsid w:val="00654259"/>
    <w:rsid w:val="00655C19"/>
    <w:rsid w:val="0065779B"/>
    <w:rsid w:val="006619FE"/>
    <w:rsid w:val="00663956"/>
    <w:rsid w:val="006703F3"/>
    <w:rsid w:val="00670F64"/>
    <w:rsid w:val="006719BE"/>
    <w:rsid w:val="00671F93"/>
    <w:rsid w:val="00677590"/>
    <w:rsid w:val="00684118"/>
    <w:rsid w:val="006854E0"/>
    <w:rsid w:val="006922AF"/>
    <w:rsid w:val="00694F40"/>
    <w:rsid w:val="00697FC3"/>
    <w:rsid w:val="006B0F7F"/>
    <w:rsid w:val="006B259E"/>
    <w:rsid w:val="006B2DD5"/>
    <w:rsid w:val="006B6082"/>
    <w:rsid w:val="006C0CBF"/>
    <w:rsid w:val="006C3E16"/>
    <w:rsid w:val="006C6BBE"/>
    <w:rsid w:val="006C74F6"/>
    <w:rsid w:val="006D3BB8"/>
    <w:rsid w:val="006D5EED"/>
    <w:rsid w:val="006E0D58"/>
    <w:rsid w:val="006E12B8"/>
    <w:rsid w:val="006E5565"/>
    <w:rsid w:val="006E7941"/>
    <w:rsid w:val="006F0954"/>
    <w:rsid w:val="006F6F89"/>
    <w:rsid w:val="006F7733"/>
    <w:rsid w:val="006F7CF5"/>
    <w:rsid w:val="007010CB"/>
    <w:rsid w:val="00702B98"/>
    <w:rsid w:val="007065DB"/>
    <w:rsid w:val="0070674A"/>
    <w:rsid w:val="00710173"/>
    <w:rsid w:val="00712D26"/>
    <w:rsid w:val="00713BF3"/>
    <w:rsid w:val="00726A64"/>
    <w:rsid w:val="00735646"/>
    <w:rsid w:val="00737CB8"/>
    <w:rsid w:val="007411B0"/>
    <w:rsid w:val="00742B68"/>
    <w:rsid w:val="00744D2B"/>
    <w:rsid w:val="00747718"/>
    <w:rsid w:val="00753BE8"/>
    <w:rsid w:val="0075593F"/>
    <w:rsid w:val="007626F0"/>
    <w:rsid w:val="0076307E"/>
    <w:rsid w:val="00771388"/>
    <w:rsid w:val="00771D92"/>
    <w:rsid w:val="00771D99"/>
    <w:rsid w:val="00777CAA"/>
    <w:rsid w:val="007840A6"/>
    <w:rsid w:val="00785335"/>
    <w:rsid w:val="00787560"/>
    <w:rsid w:val="0078778D"/>
    <w:rsid w:val="0078794F"/>
    <w:rsid w:val="00790224"/>
    <w:rsid w:val="00795187"/>
    <w:rsid w:val="0079686D"/>
    <w:rsid w:val="007B01EC"/>
    <w:rsid w:val="007B4E90"/>
    <w:rsid w:val="007B7BAC"/>
    <w:rsid w:val="007C2501"/>
    <w:rsid w:val="007C4D31"/>
    <w:rsid w:val="007C5CA7"/>
    <w:rsid w:val="007E3F02"/>
    <w:rsid w:val="007E41A7"/>
    <w:rsid w:val="007E4305"/>
    <w:rsid w:val="007E54E7"/>
    <w:rsid w:val="007E6C21"/>
    <w:rsid w:val="007F0A1C"/>
    <w:rsid w:val="007F1652"/>
    <w:rsid w:val="007F571D"/>
    <w:rsid w:val="00800D66"/>
    <w:rsid w:val="00805A97"/>
    <w:rsid w:val="008103CA"/>
    <w:rsid w:val="00813C50"/>
    <w:rsid w:val="00817984"/>
    <w:rsid w:val="0082376F"/>
    <w:rsid w:val="008300E6"/>
    <w:rsid w:val="008377F5"/>
    <w:rsid w:val="00842CF9"/>
    <w:rsid w:val="008503EF"/>
    <w:rsid w:val="00851042"/>
    <w:rsid w:val="00852845"/>
    <w:rsid w:val="00852E21"/>
    <w:rsid w:val="0085691D"/>
    <w:rsid w:val="00857258"/>
    <w:rsid w:val="00861DA3"/>
    <w:rsid w:val="00864254"/>
    <w:rsid w:val="00871D60"/>
    <w:rsid w:val="00873615"/>
    <w:rsid w:val="008757DC"/>
    <w:rsid w:val="0088296D"/>
    <w:rsid w:val="00883711"/>
    <w:rsid w:val="00883D7E"/>
    <w:rsid w:val="0089353F"/>
    <w:rsid w:val="008B04FD"/>
    <w:rsid w:val="008B1C31"/>
    <w:rsid w:val="008B4DFD"/>
    <w:rsid w:val="008B72B9"/>
    <w:rsid w:val="008C0B8B"/>
    <w:rsid w:val="008C582C"/>
    <w:rsid w:val="008D0006"/>
    <w:rsid w:val="008D1491"/>
    <w:rsid w:val="008D46F9"/>
    <w:rsid w:val="008D5446"/>
    <w:rsid w:val="008D7AD9"/>
    <w:rsid w:val="008E1B6E"/>
    <w:rsid w:val="008E29E7"/>
    <w:rsid w:val="008E47B1"/>
    <w:rsid w:val="008E5C51"/>
    <w:rsid w:val="008F4561"/>
    <w:rsid w:val="008F67F5"/>
    <w:rsid w:val="0090395E"/>
    <w:rsid w:val="00907891"/>
    <w:rsid w:val="00911A12"/>
    <w:rsid w:val="009170B2"/>
    <w:rsid w:val="00920D79"/>
    <w:rsid w:val="00924C5B"/>
    <w:rsid w:val="00925A11"/>
    <w:rsid w:val="009278B5"/>
    <w:rsid w:val="00930303"/>
    <w:rsid w:val="00936903"/>
    <w:rsid w:val="00936BC1"/>
    <w:rsid w:val="00936F42"/>
    <w:rsid w:val="00940C9C"/>
    <w:rsid w:val="00941C8F"/>
    <w:rsid w:val="009528AD"/>
    <w:rsid w:val="0096270F"/>
    <w:rsid w:val="009627B5"/>
    <w:rsid w:val="00967D4B"/>
    <w:rsid w:val="00967E8D"/>
    <w:rsid w:val="00975E7C"/>
    <w:rsid w:val="009818CF"/>
    <w:rsid w:val="00983AF2"/>
    <w:rsid w:val="009864B7"/>
    <w:rsid w:val="0099020C"/>
    <w:rsid w:val="009934EB"/>
    <w:rsid w:val="009A15BF"/>
    <w:rsid w:val="009A3595"/>
    <w:rsid w:val="009A622D"/>
    <w:rsid w:val="009B36C1"/>
    <w:rsid w:val="009B62DC"/>
    <w:rsid w:val="009C765F"/>
    <w:rsid w:val="009D3464"/>
    <w:rsid w:val="009D5026"/>
    <w:rsid w:val="009E1DA5"/>
    <w:rsid w:val="009E48A1"/>
    <w:rsid w:val="00A07BAC"/>
    <w:rsid w:val="00A100A4"/>
    <w:rsid w:val="00A10BD7"/>
    <w:rsid w:val="00A11B15"/>
    <w:rsid w:val="00A16979"/>
    <w:rsid w:val="00A23C31"/>
    <w:rsid w:val="00A25C61"/>
    <w:rsid w:val="00A26F6A"/>
    <w:rsid w:val="00A4764B"/>
    <w:rsid w:val="00A55CAC"/>
    <w:rsid w:val="00A575DB"/>
    <w:rsid w:val="00A6206F"/>
    <w:rsid w:val="00A63834"/>
    <w:rsid w:val="00A7032B"/>
    <w:rsid w:val="00A720BF"/>
    <w:rsid w:val="00A80383"/>
    <w:rsid w:val="00A84EA8"/>
    <w:rsid w:val="00A93899"/>
    <w:rsid w:val="00A94809"/>
    <w:rsid w:val="00A95E6E"/>
    <w:rsid w:val="00AA35CC"/>
    <w:rsid w:val="00AA44D1"/>
    <w:rsid w:val="00AA4F14"/>
    <w:rsid w:val="00AA639C"/>
    <w:rsid w:val="00AB05BF"/>
    <w:rsid w:val="00AB0F40"/>
    <w:rsid w:val="00AB3136"/>
    <w:rsid w:val="00AB60AC"/>
    <w:rsid w:val="00AB6E33"/>
    <w:rsid w:val="00AB7E10"/>
    <w:rsid w:val="00AC1A3E"/>
    <w:rsid w:val="00AC372F"/>
    <w:rsid w:val="00AD01A2"/>
    <w:rsid w:val="00AD07DF"/>
    <w:rsid w:val="00AD1B95"/>
    <w:rsid w:val="00AD77C9"/>
    <w:rsid w:val="00AE205E"/>
    <w:rsid w:val="00AE2D1B"/>
    <w:rsid w:val="00AF6D13"/>
    <w:rsid w:val="00AF71AB"/>
    <w:rsid w:val="00B043FF"/>
    <w:rsid w:val="00B11F98"/>
    <w:rsid w:val="00B12276"/>
    <w:rsid w:val="00B12B47"/>
    <w:rsid w:val="00B2119F"/>
    <w:rsid w:val="00B2479E"/>
    <w:rsid w:val="00B26EDF"/>
    <w:rsid w:val="00B35A5C"/>
    <w:rsid w:val="00B50A68"/>
    <w:rsid w:val="00B52B9D"/>
    <w:rsid w:val="00B670E5"/>
    <w:rsid w:val="00B6798E"/>
    <w:rsid w:val="00B7014C"/>
    <w:rsid w:val="00B71E33"/>
    <w:rsid w:val="00B73345"/>
    <w:rsid w:val="00B7461F"/>
    <w:rsid w:val="00B83432"/>
    <w:rsid w:val="00B846CB"/>
    <w:rsid w:val="00B90992"/>
    <w:rsid w:val="00B93B18"/>
    <w:rsid w:val="00B94BD3"/>
    <w:rsid w:val="00BA1210"/>
    <w:rsid w:val="00BA15A6"/>
    <w:rsid w:val="00BA2FC9"/>
    <w:rsid w:val="00BA4BF2"/>
    <w:rsid w:val="00BA628D"/>
    <w:rsid w:val="00BA7BEA"/>
    <w:rsid w:val="00BB603E"/>
    <w:rsid w:val="00BC7A55"/>
    <w:rsid w:val="00BE4A30"/>
    <w:rsid w:val="00BF3087"/>
    <w:rsid w:val="00BF7B0E"/>
    <w:rsid w:val="00C014B1"/>
    <w:rsid w:val="00C050C5"/>
    <w:rsid w:val="00C05F23"/>
    <w:rsid w:val="00C06C1F"/>
    <w:rsid w:val="00C12E14"/>
    <w:rsid w:val="00C143AB"/>
    <w:rsid w:val="00C15AC2"/>
    <w:rsid w:val="00C15C1F"/>
    <w:rsid w:val="00C15C70"/>
    <w:rsid w:val="00C169FC"/>
    <w:rsid w:val="00C2642C"/>
    <w:rsid w:val="00C27020"/>
    <w:rsid w:val="00C27ED0"/>
    <w:rsid w:val="00C31D61"/>
    <w:rsid w:val="00C3530C"/>
    <w:rsid w:val="00C36D4B"/>
    <w:rsid w:val="00C41E05"/>
    <w:rsid w:val="00C470C3"/>
    <w:rsid w:val="00C54CD4"/>
    <w:rsid w:val="00C55992"/>
    <w:rsid w:val="00C72FAB"/>
    <w:rsid w:val="00C76EF6"/>
    <w:rsid w:val="00C7741B"/>
    <w:rsid w:val="00C81013"/>
    <w:rsid w:val="00C84F77"/>
    <w:rsid w:val="00C907A6"/>
    <w:rsid w:val="00C91B80"/>
    <w:rsid w:val="00C97BA8"/>
    <w:rsid w:val="00CA15B0"/>
    <w:rsid w:val="00CA6CC2"/>
    <w:rsid w:val="00CB074A"/>
    <w:rsid w:val="00CB2D7E"/>
    <w:rsid w:val="00CC1029"/>
    <w:rsid w:val="00CC5837"/>
    <w:rsid w:val="00CD61F4"/>
    <w:rsid w:val="00CE4C06"/>
    <w:rsid w:val="00CF1389"/>
    <w:rsid w:val="00CF3CE3"/>
    <w:rsid w:val="00CF5771"/>
    <w:rsid w:val="00D004F0"/>
    <w:rsid w:val="00D04760"/>
    <w:rsid w:val="00D07451"/>
    <w:rsid w:val="00D11C37"/>
    <w:rsid w:val="00D15EAE"/>
    <w:rsid w:val="00D16BB2"/>
    <w:rsid w:val="00D17AEE"/>
    <w:rsid w:val="00D17CE1"/>
    <w:rsid w:val="00D20F0C"/>
    <w:rsid w:val="00D23F8F"/>
    <w:rsid w:val="00D23F9B"/>
    <w:rsid w:val="00D26181"/>
    <w:rsid w:val="00D3122A"/>
    <w:rsid w:val="00D3167B"/>
    <w:rsid w:val="00D347C2"/>
    <w:rsid w:val="00D34E4C"/>
    <w:rsid w:val="00D40583"/>
    <w:rsid w:val="00D412F5"/>
    <w:rsid w:val="00D41818"/>
    <w:rsid w:val="00D4453B"/>
    <w:rsid w:val="00D45773"/>
    <w:rsid w:val="00D5199E"/>
    <w:rsid w:val="00D53658"/>
    <w:rsid w:val="00D66C50"/>
    <w:rsid w:val="00D729CB"/>
    <w:rsid w:val="00D73C4E"/>
    <w:rsid w:val="00D742CC"/>
    <w:rsid w:val="00D76EB7"/>
    <w:rsid w:val="00D778AD"/>
    <w:rsid w:val="00D867F2"/>
    <w:rsid w:val="00D9328C"/>
    <w:rsid w:val="00D9494E"/>
    <w:rsid w:val="00DA2013"/>
    <w:rsid w:val="00DA3632"/>
    <w:rsid w:val="00DB7172"/>
    <w:rsid w:val="00DC0A7D"/>
    <w:rsid w:val="00DC4821"/>
    <w:rsid w:val="00DD04DB"/>
    <w:rsid w:val="00DD3DF7"/>
    <w:rsid w:val="00DD53D3"/>
    <w:rsid w:val="00DE0E66"/>
    <w:rsid w:val="00DE57C5"/>
    <w:rsid w:val="00DF313C"/>
    <w:rsid w:val="00DF4148"/>
    <w:rsid w:val="00DF7897"/>
    <w:rsid w:val="00E1055A"/>
    <w:rsid w:val="00E229BB"/>
    <w:rsid w:val="00E240DF"/>
    <w:rsid w:val="00E30332"/>
    <w:rsid w:val="00E31424"/>
    <w:rsid w:val="00E37A04"/>
    <w:rsid w:val="00E40316"/>
    <w:rsid w:val="00E4501A"/>
    <w:rsid w:val="00E51ED8"/>
    <w:rsid w:val="00E53136"/>
    <w:rsid w:val="00E57D3D"/>
    <w:rsid w:val="00E66EA7"/>
    <w:rsid w:val="00E706BA"/>
    <w:rsid w:val="00E74ACF"/>
    <w:rsid w:val="00E75482"/>
    <w:rsid w:val="00E76C21"/>
    <w:rsid w:val="00E7700E"/>
    <w:rsid w:val="00E77E67"/>
    <w:rsid w:val="00E81C66"/>
    <w:rsid w:val="00E84FB1"/>
    <w:rsid w:val="00E855A5"/>
    <w:rsid w:val="00E87D0B"/>
    <w:rsid w:val="00E97F38"/>
    <w:rsid w:val="00EA5624"/>
    <w:rsid w:val="00EB53E5"/>
    <w:rsid w:val="00EB61F7"/>
    <w:rsid w:val="00EC2510"/>
    <w:rsid w:val="00ED2E15"/>
    <w:rsid w:val="00ED4C8B"/>
    <w:rsid w:val="00ED5646"/>
    <w:rsid w:val="00EE2E36"/>
    <w:rsid w:val="00EE328A"/>
    <w:rsid w:val="00EE32C4"/>
    <w:rsid w:val="00EE69A2"/>
    <w:rsid w:val="00EF00E6"/>
    <w:rsid w:val="00F00F83"/>
    <w:rsid w:val="00F0238D"/>
    <w:rsid w:val="00F031FC"/>
    <w:rsid w:val="00F11267"/>
    <w:rsid w:val="00F1710D"/>
    <w:rsid w:val="00F17A65"/>
    <w:rsid w:val="00F20538"/>
    <w:rsid w:val="00F21D99"/>
    <w:rsid w:val="00F233BF"/>
    <w:rsid w:val="00F243CC"/>
    <w:rsid w:val="00F2511B"/>
    <w:rsid w:val="00F262CC"/>
    <w:rsid w:val="00F26985"/>
    <w:rsid w:val="00F31F76"/>
    <w:rsid w:val="00F34169"/>
    <w:rsid w:val="00F35951"/>
    <w:rsid w:val="00F37B42"/>
    <w:rsid w:val="00F41B41"/>
    <w:rsid w:val="00F47FE9"/>
    <w:rsid w:val="00F57119"/>
    <w:rsid w:val="00F575A8"/>
    <w:rsid w:val="00F57B11"/>
    <w:rsid w:val="00F60ED0"/>
    <w:rsid w:val="00F61FC6"/>
    <w:rsid w:val="00F62A3E"/>
    <w:rsid w:val="00F64741"/>
    <w:rsid w:val="00F704DD"/>
    <w:rsid w:val="00F76EA4"/>
    <w:rsid w:val="00F83A2D"/>
    <w:rsid w:val="00F84DF6"/>
    <w:rsid w:val="00F866B5"/>
    <w:rsid w:val="00F86821"/>
    <w:rsid w:val="00F92437"/>
    <w:rsid w:val="00F93DB8"/>
    <w:rsid w:val="00FA054D"/>
    <w:rsid w:val="00FA13CB"/>
    <w:rsid w:val="00FA3AF9"/>
    <w:rsid w:val="00FA4073"/>
    <w:rsid w:val="00FB2528"/>
    <w:rsid w:val="00FB35F6"/>
    <w:rsid w:val="00FB7707"/>
    <w:rsid w:val="00FC14D1"/>
    <w:rsid w:val="00FC2A9D"/>
    <w:rsid w:val="00FC3C32"/>
    <w:rsid w:val="00FC4B9D"/>
    <w:rsid w:val="00FC4D33"/>
    <w:rsid w:val="00FC6560"/>
    <w:rsid w:val="00FD6D1C"/>
    <w:rsid w:val="00FD7234"/>
    <w:rsid w:val="00FE19FB"/>
    <w:rsid w:val="00FE3C9C"/>
    <w:rsid w:val="00FE4151"/>
    <w:rsid w:val="00FE64AE"/>
    <w:rsid w:val="00FE7065"/>
    <w:rsid w:val="00FF243C"/>
    <w:rsid w:val="00FF5F5C"/>
    <w:rsid w:val="00FF6887"/>
    <w:rsid w:val="0DA058AA"/>
    <w:rsid w:val="71CF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D8870"/>
  <w15:docId w15:val="{DB34318F-69D4-4B11-8E1E-7CEA8D2112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30FE"/>
    <w:rPr>
      <w:rFonts w:ascii="Arial" w:hAnsi="Arial" w:eastAsia="Times New Roman" w:cs="Arial"/>
      <w:sz w:val="24"/>
      <w:szCs w:val="24"/>
      <w:lang w:eastAsia="en-US"/>
    </w:rPr>
  </w:style>
  <w:style w:type="paragraph" w:styleId="Heading1">
    <w:name w:val="heading 1"/>
    <w:basedOn w:val="Normal"/>
    <w:next w:val="Normal"/>
    <w:link w:val="Heading1Char"/>
    <w:qFormat/>
    <w:rsid w:val="005330FE"/>
    <w:pPr>
      <w:keepNext/>
      <w:ind w:left="709"/>
      <w:outlineLvl w:val="0"/>
    </w:pPr>
    <w:rPr>
      <w:rFonts w:cs="Times New Roman"/>
      <w:b/>
      <w:szCs w:val="20"/>
      <w:u w:val="single"/>
    </w:rPr>
  </w:style>
  <w:style w:type="paragraph" w:styleId="Heading2">
    <w:name w:val="heading 2"/>
    <w:basedOn w:val="Normal"/>
    <w:next w:val="Normal"/>
    <w:link w:val="Heading2Char"/>
    <w:qFormat/>
    <w:rsid w:val="005330FE"/>
    <w:pPr>
      <w:keepNext/>
      <w:autoSpaceDE w:val="0"/>
      <w:autoSpaceDN w:val="0"/>
      <w:adjustRightInd w:val="0"/>
      <w:outlineLvl w:val="1"/>
    </w:pPr>
    <w:rPr>
      <w:i/>
      <w:iCs/>
      <w:color w:val="000000"/>
      <w:lang w:val="en-US"/>
    </w:rPr>
  </w:style>
  <w:style w:type="paragraph" w:styleId="Heading3">
    <w:name w:val="heading 3"/>
    <w:basedOn w:val="Normal"/>
    <w:next w:val="Normal"/>
    <w:link w:val="Heading3Char"/>
    <w:qFormat/>
    <w:rsid w:val="005330FE"/>
    <w:pPr>
      <w:keepNext/>
      <w:autoSpaceDE w:val="0"/>
      <w:autoSpaceDN w:val="0"/>
      <w:adjustRightInd w:val="0"/>
      <w:outlineLvl w:val="2"/>
    </w:pPr>
    <w:rPr>
      <w:b/>
      <w:bCs/>
      <w:color w:val="000000"/>
      <w:lang w:val="en-US"/>
    </w:rPr>
  </w:style>
  <w:style w:type="paragraph" w:styleId="Heading4">
    <w:name w:val="heading 4"/>
    <w:basedOn w:val="Normal"/>
    <w:next w:val="Normal"/>
    <w:link w:val="Heading4Char"/>
    <w:qFormat/>
    <w:rsid w:val="005330FE"/>
    <w:pPr>
      <w:keepNext/>
      <w:autoSpaceDE w:val="0"/>
      <w:autoSpaceDN w:val="0"/>
      <w:adjustRightInd w:val="0"/>
      <w:outlineLvl w:val="3"/>
    </w:pPr>
    <w:rPr>
      <w:i/>
      <w:iCs/>
    </w:rPr>
  </w:style>
  <w:style w:type="paragraph" w:styleId="Heading5">
    <w:name w:val="heading 5"/>
    <w:basedOn w:val="Normal"/>
    <w:next w:val="Normal"/>
    <w:link w:val="Heading5Char"/>
    <w:qFormat/>
    <w:rsid w:val="005330FE"/>
    <w:pPr>
      <w:keepNext/>
      <w:autoSpaceDE w:val="0"/>
      <w:autoSpaceDN w:val="0"/>
      <w:adjustRightInd w:val="0"/>
      <w:outlineLvl w:val="4"/>
    </w:pPr>
    <w:rPr>
      <w:b/>
      <w:bCs/>
      <w:color w:val="000000"/>
      <w:u w:val="single"/>
      <w:lang w:val="en-US"/>
    </w:rPr>
  </w:style>
  <w:style w:type="paragraph" w:styleId="Heading6">
    <w:name w:val="heading 6"/>
    <w:basedOn w:val="Normal"/>
    <w:next w:val="Normal"/>
    <w:link w:val="Heading6Char"/>
    <w:qFormat/>
    <w:rsid w:val="005330FE"/>
    <w:pPr>
      <w:keepNext/>
      <w:autoSpaceDE w:val="0"/>
      <w:autoSpaceDN w:val="0"/>
      <w:adjustRightInd w:val="0"/>
      <w:outlineLvl w:val="5"/>
    </w:pPr>
    <w:rPr>
      <w:b/>
      <w:bCs/>
    </w:rPr>
  </w:style>
  <w:style w:type="paragraph" w:styleId="Heading7">
    <w:name w:val="heading 7"/>
    <w:basedOn w:val="Normal"/>
    <w:next w:val="Normal"/>
    <w:link w:val="Heading7Char"/>
    <w:qFormat/>
    <w:rsid w:val="005330FE"/>
    <w:pPr>
      <w:keepNext/>
      <w:autoSpaceDE w:val="0"/>
      <w:autoSpaceDN w:val="0"/>
      <w:adjustRightInd w:val="0"/>
      <w:jc w:val="right"/>
      <w:outlineLvl w:val="6"/>
    </w:pPr>
    <w:rPr>
      <w:b/>
      <w:lang w:val="en-US"/>
    </w:rPr>
  </w:style>
  <w:style w:type="paragraph" w:styleId="Heading8">
    <w:name w:val="heading 8"/>
    <w:basedOn w:val="Normal"/>
    <w:next w:val="Normal"/>
    <w:link w:val="Heading8Char"/>
    <w:qFormat/>
    <w:rsid w:val="005330FE"/>
    <w:pPr>
      <w:keepNext/>
      <w:numPr>
        <w:numId w:val="1"/>
      </w:numPr>
      <w:autoSpaceDE w:val="0"/>
      <w:autoSpaceDN w:val="0"/>
      <w:adjustRightInd w:val="0"/>
      <w:outlineLvl w:val="7"/>
    </w:pPr>
    <w:rPr>
      <w:b/>
      <w:bCs/>
      <w:color w:val="000000"/>
      <w:lang w:val="en-US"/>
    </w:rPr>
  </w:style>
  <w:style w:type="paragraph" w:styleId="Heading9">
    <w:name w:val="heading 9"/>
    <w:basedOn w:val="Normal"/>
    <w:next w:val="Normal"/>
    <w:link w:val="Heading9Char"/>
    <w:qFormat/>
    <w:rsid w:val="005330FE"/>
    <w:pPr>
      <w:keepNext/>
      <w:autoSpaceDE w:val="0"/>
      <w:autoSpaceDN w:val="0"/>
      <w:adjustRightInd w:val="0"/>
      <w:ind w:left="720"/>
      <w:outlineLvl w:val="8"/>
    </w:pPr>
    <w:rPr>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330FE"/>
    <w:rPr>
      <w:rFonts w:ascii="Arial" w:hAnsi="Arial" w:eastAsia="Times New Roman"/>
      <w:b/>
      <w:sz w:val="24"/>
      <w:u w:val="single"/>
      <w:lang w:eastAsia="en-US"/>
    </w:rPr>
  </w:style>
  <w:style w:type="character" w:styleId="Heading2Char" w:customStyle="1">
    <w:name w:val="Heading 2 Char"/>
    <w:basedOn w:val="DefaultParagraphFont"/>
    <w:link w:val="Heading2"/>
    <w:rsid w:val="005330FE"/>
    <w:rPr>
      <w:rFonts w:ascii="Arial" w:hAnsi="Arial" w:eastAsia="Times New Roman" w:cs="Arial"/>
      <w:i/>
      <w:iCs/>
      <w:color w:val="000000"/>
      <w:sz w:val="24"/>
      <w:szCs w:val="24"/>
      <w:lang w:val="en-US" w:eastAsia="en-US"/>
    </w:rPr>
  </w:style>
  <w:style w:type="character" w:styleId="Heading3Char" w:customStyle="1">
    <w:name w:val="Heading 3 Char"/>
    <w:basedOn w:val="DefaultParagraphFont"/>
    <w:link w:val="Heading3"/>
    <w:rsid w:val="005330FE"/>
    <w:rPr>
      <w:rFonts w:ascii="Arial" w:hAnsi="Arial" w:eastAsia="Times New Roman" w:cs="Arial"/>
      <w:b/>
      <w:bCs/>
      <w:color w:val="000000"/>
      <w:sz w:val="24"/>
      <w:szCs w:val="24"/>
      <w:lang w:val="en-US" w:eastAsia="en-US"/>
    </w:rPr>
  </w:style>
  <w:style w:type="character" w:styleId="Heading4Char" w:customStyle="1">
    <w:name w:val="Heading 4 Char"/>
    <w:basedOn w:val="DefaultParagraphFont"/>
    <w:link w:val="Heading4"/>
    <w:rsid w:val="005330FE"/>
    <w:rPr>
      <w:rFonts w:ascii="Arial" w:hAnsi="Arial" w:eastAsia="Times New Roman" w:cs="Arial"/>
      <w:i/>
      <w:iCs/>
      <w:sz w:val="24"/>
      <w:szCs w:val="24"/>
      <w:lang w:eastAsia="en-US"/>
    </w:rPr>
  </w:style>
  <w:style w:type="character" w:styleId="Heading5Char" w:customStyle="1">
    <w:name w:val="Heading 5 Char"/>
    <w:basedOn w:val="DefaultParagraphFont"/>
    <w:link w:val="Heading5"/>
    <w:rsid w:val="005330FE"/>
    <w:rPr>
      <w:rFonts w:ascii="Arial" w:hAnsi="Arial" w:eastAsia="Times New Roman" w:cs="Arial"/>
      <w:b/>
      <w:bCs/>
      <w:color w:val="000000"/>
      <w:sz w:val="24"/>
      <w:szCs w:val="24"/>
      <w:u w:val="single"/>
      <w:lang w:val="en-US" w:eastAsia="en-US"/>
    </w:rPr>
  </w:style>
  <w:style w:type="character" w:styleId="Heading6Char" w:customStyle="1">
    <w:name w:val="Heading 6 Char"/>
    <w:basedOn w:val="DefaultParagraphFont"/>
    <w:link w:val="Heading6"/>
    <w:rsid w:val="005330FE"/>
    <w:rPr>
      <w:rFonts w:ascii="Arial" w:hAnsi="Arial" w:eastAsia="Times New Roman" w:cs="Arial"/>
      <w:b/>
      <w:bCs/>
      <w:sz w:val="24"/>
      <w:szCs w:val="24"/>
      <w:lang w:eastAsia="en-US"/>
    </w:rPr>
  </w:style>
  <w:style w:type="character" w:styleId="Heading7Char" w:customStyle="1">
    <w:name w:val="Heading 7 Char"/>
    <w:basedOn w:val="DefaultParagraphFont"/>
    <w:link w:val="Heading7"/>
    <w:rsid w:val="005330FE"/>
    <w:rPr>
      <w:rFonts w:ascii="Arial" w:hAnsi="Arial" w:eastAsia="Times New Roman" w:cs="Arial"/>
      <w:b/>
      <w:sz w:val="24"/>
      <w:szCs w:val="24"/>
      <w:lang w:val="en-US" w:eastAsia="en-US"/>
    </w:rPr>
  </w:style>
  <w:style w:type="character" w:styleId="Heading8Char" w:customStyle="1">
    <w:name w:val="Heading 8 Char"/>
    <w:basedOn w:val="DefaultParagraphFont"/>
    <w:link w:val="Heading8"/>
    <w:rsid w:val="005330FE"/>
    <w:rPr>
      <w:rFonts w:ascii="Arial" w:hAnsi="Arial" w:eastAsia="Times New Roman" w:cs="Arial"/>
      <w:b/>
      <w:bCs/>
      <w:color w:val="000000"/>
      <w:sz w:val="24"/>
      <w:szCs w:val="24"/>
      <w:lang w:val="en-US" w:eastAsia="en-US"/>
    </w:rPr>
  </w:style>
  <w:style w:type="character" w:styleId="Heading9Char" w:customStyle="1">
    <w:name w:val="Heading 9 Char"/>
    <w:basedOn w:val="DefaultParagraphFont"/>
    <w:link w:val="Heading9"/>
    <w:rsid w:val="005330FE"/>
    <w:rPr>
      <w:rFonts w:ascii="Arial" w:hAnsi="Arial" w:eastAsia="Times New Roman" w:cs="Arial"/>
      <w:b/>
      <w:bCs/>
      <w:sz w:val="24"/>
      <w:szCs w:val="24"/>
      <w:lang w:val="en-US" w:eastAsia="en-US"/>
    </w:rPr>
  </w:style>
  <w:style w:type="paragraph" w:styleId="Header">
    <w:name w:val="header"/>
    <w:basedOn w:val="Normal"/>
    <w:link w:val="HeaderChar"/>
    <w:uiPriority w:val="99"/>
    <w:rsid w:val="005330FE"/>
    <w:pPr>
      <w:tabs>
        <w:tab w:val="center" w:pos="4320"/>
        <w:tab w:val="right" w:pos="8640"/>
      </w:tabs>
    </w:pPr>
  </w:style>
  <w:style w:type="character" w:styleId="HeaderChar" w:customStyle="1">
    <w:name w:val="Header Char"/>
    <w:basedOn w:val="DefaultParagraphFont"/>
    <w:link w:val="Header"/>
    <w:uiPriority w:val="99"/>
    <w:rsid w:val="005330FE"/>
    <w:rPr>
      <w:rFonts w:ascii="Arial" w:hAnsi="Arial" w:eastAsia="Times New Roman" w:cs="Arial"/>
      <w:sz w:val="24"/>
      <w:szCs w:val="24"/>
      <w:lang w:eastAsia="en-US"/>
    </w:rPr>
  </w:style>
  <w:style w:type="paragraph" w:styleId="Footer">
    <w:name w:val="footer"/>
    <w:basedOn w:val="Normal"/>
    <w:link w:val="FooterChar"/>
    <w:uiPriority w:val="99"/>
    <w:rsid w:val="005330FE"/>
    <w:pPr>
      <w:tabs>
        <w:tab w:val="center" w:pos="4320"/>
        <w:tab w:val="right" w:pos="8640"/>
      </w:tabs>
    </w:pPr>
  </w:style>
  <w:style w:type="character" w:styleId="FooterChar" w:customStyle="1">
    <w:name w:val="Footer Char"/>
    <w:basedOn w:val="DefaultParagraphFont"/>
    <w:link w:val="Footer"/>
    <w:uiPriority w:val="99"/>
    <w:rsid w:val="005330FE"/>
    <w:rPr>
      <w:rFonts w:ascii="Arial" w:hAnsi="Arial" w:eastAsia="Times New Roman" w:cs="Arial"/>
      <w:sz w:val="24"/>
      <w:szCs w:val="24"/>
      <w:lang w:eastAsia="en-US"/>
    </w:rPr>
  </w:style>
  <w:style w:type="paragraph" w:styleId="BodyText2">
    <w:name w:val="Body Text 2"/>
    <w:basedOn w:val="Normal"/>
    <w:link w:val="BodyText2Char"/>
    <w:rsid w:val="005330FE"/>
    <w:pPr>
      <w:autoSpaceDE w:val="0"/>
      <w:autoSpaceDN w:val="0"/>
      <w:adjustRightInd w:val="0"/>
    </w:pPr>
    <w:rPr>
      <w:color w:val="000000"/>
      <w:lang w:val="en-US"/>
    </w:rPr>
  </w:style>
  <w:style w:type="character" w:styleId="BodyText2Char" w:customStyle="1">
    <w:name w:val="Body Text 2 Char"/>
    <w:basedOn w:val="DefaultParagraphFont"/>
    <w:link w:val="BodyText2"/>
    <w:rsid w:val="005330FE"/>
    <w:rPr>
      <w:rFonts w:ascii="Arial" w:hAnsi="Arial" w:eastAsia="Times New Roman" w:cs="Arial"/>
      <w:color w:val="000000"/>
      <w:sz w:val="24"/>
      <w:szCs w:val="24"/>
      <w:lang w:val="en-US" w:eastAsia="en-US"/>
    </w:rPr>
  </w:style>
  <w:style w:type="paragraph" w:styleId="BodyText">
    <w:name w:val="Body Text"/>
    <w:basedOn w:val="Normal"/>
    <w:link w:val="BodyTextChar"/>
    <w:rsid w:val="005330FE"/>
    <w:pPr>
      <w:numPr>
        <w:ilvl w:val="12"/>
      </w:numPr>
      <w:jc w:val="both"/>
    </w:pPr>
    <w:rPr>
      <w:rFonts w:cs="Times New Roman"/>
      <w:szCs w:val="20"/>
    </w:rPr>
  </w:style>
  <w:style w:type="character" w:styleId="BodyTextChar" w:customStyle="1">
    <w:name w:val="Body Text Char"/>
    <w:basedOn w:val="DefaultParagraphFont"/>
    <w:link w:val="BodyText"/>
    <w:rsid w:val="005330FE"/>
    <w:rPr>
      <w:rFonts w:ascii="Arial" w:hAnsi="Arial" w:eastAsia="Times New Roman"/>
      <w:sz w:val="24"/>
      <w:lang w:eastAsia="en-US"/>
    </w:rPr>
  </w:style>
  <w:style w:type="paragraph" w:styleId="BodyText3">
    <w:name w:val="Body Text 3"/>
    <w:basedOn w:val="Normal"/>
    <w:link w:val="BodyText3Char"/>
    <w:rsid w:val="005330FE"/>
    <w:pPr>
      <w:spacing w:after="120"/>
    </w:pPr>
    <w:rPr>
      <w:sz w:val="16"/>
      <w:szCs w:val="16"/>
    </w:rPr>
  </w:style>
  <w:style w:type="character" w:styleId="BodyText3Char" w:customStyle="1">
    <w:name w:val="Body Text 3 Char"/>
    <w:basedOn w:val="DefaultParagraphFont"/>
    <w:link w:val="BodyText3"/>
    <w:rsid w:val="005330FE"/>
    <w:rPr>
      <w:rFonts w:ascii="Arial" w:hAnsi="Arial" w:eastAsia="Times New Roman" w:cs="Arial"/>
      <w:sz w:val="16"/>
      <w:szCs w:val="16"/>
      <w:lang w:eastAsia="en-US"/>
    </w:rPr>
  </w:style>
  <w:style w:type="character" w:styleId="PageNumber">
    <w:name w:val="page number"/>
    <w:basedOn w:val="DefaultParagraphFont"/>
    <w:rsid w:val="005330FE"/>
  </w:style>
  <w:style w:type="character" w:styleId="Hyperlink">
    <w:name w:val="Hyperlink"/>
    <w:rsid w:val="005330FE"/>
    <w:rPr>
      <w:color w:val="0000FF"/>
      <w:u w:val="single"/>
    </w:rPr>
  </w:style>
  <w:style w:type="paragraph" w:styleId="FootnoteText">
    <w:name w:val="footnote text"/>
    <w:basedOn w:val="Normal"/>
    <w:link w:val="FootnoteTextChar"/>
    <w:semiHidden/>
    <w:rsid w:val="005330FE"/>
    <w:rPr>
      <w:rFonts w:cs="Times New Roman"/>
      <w:sz w:val="20"/>
      <w:szCs w:val="20"/>
    </w:rPr>
  </w:style>
  <w:style w:type="character" w:styleId="FootnoteTextChar" w:customStyle="1">
    <w:name w:val="Footnote Text Char"/>
    <w:basedOn w:val="DefaultParagraphFont"/>
    <w:link w:val="FootnoteText"/>
    <w:semiHidden/>
    <w:rsid w:val="005330FE"/>
    <w:rPr>
      <w:rFonts w:ascii="Arial" w:hAnsi="Arial" w:eastAsia="Times New Roman"/>
      <w:lang w:eastAsia="en-US"/>
    </w:rPr>
  </w:style>
  <w:style w:type="character" w:styleId="FootnoteReference">
    <w:name w:val="footnote reference"/>
    <w:semiHidden/>
    <w:rsid w:val="005330FE"/>
    <w:rPr>
      <w:vertAlign w:val="superscript"/>
    </w:rPr>
  </w:style>
  <w:style w:type="paragraph" w:styleId="Title">
    <w:name w:val="Title"/>
    <w:basedOn w:val="Normal"/>
    <w:link w:val="TitleChar"/>
    <w:qFormat/>
    <w:rsid w:val="005330FE"/>
    <w:pPr>
      <w:autoSpaceDE w:val="0"/>
      <w:autoSpaceDN w:val="0"/>
      <w:adjustRightInd w:val="0"/>
      <w:jc w:val="center"/>
    </w:pPr>
    <w:rPr>
      <w:b/>
      <w:bCs/>
      <w:color w:val="000000"/>
      <w:sz w:val="88"/>
      <w:szCs w:val="88"/>
      <w:lang w:val="en-US"/>
    </w:rPr>
  </w:style>
  <w:style w:type="character" w:styleId="TitleChar" w:customStyle="1">
    <w:name w:val="Title Char"/>
    <w:basedOn w:val="DefaultParagraphFont"/>
    <w:link w:val="Title"/>
    <w:rsid w:val="005330FE"/>
    <w:rPr>
      <w:rFonts w:ascii="Arial" w:hAnsi="Arial" w:eastAsia="Times New Roman" w:cs="Arial"/>
      <w:b/>
      <w:bCs/>
      <w:color w:val="000000"/>
      <w:sz w:val="88"/>
      <w:szCs w:val="88"/>
      <w:lang w:val="en-US" w:eastAsia="en-US"/>
    </w:rPr>
  </w:style>
  <w:style w:type="paragraph" w:styleId="BodyTextIndent3">
    <w:name w:val="Body Text Indent 3"/>
    <w:basedOn w:val="Normal"/>
    <w:link w:val="BodyTextIndent3Char"/>
    <w:rsid w:val="005330FE"/>
    <w:pPr>
      <w:ind w:left="2127" w:hanging="2127"/>
      <w:jc w:val="both"/>
    </w:pPr>
    <w:rPr>
      <w:rFonts w:cs="Times New Roman"/>
      <w:szCs w:val="20"/>
    </w:rPr>
  </w:style>
  <w:style w:type="character" w:styleId="BodyTextIndent3Char" w:customStyle="1">
    <w:name w:val="Body Text Indent 3 Char"/>
    <w:basedOn w:val="DefaultParagraphFont"/>
    <w:link w:val="BodyTextIndent3"/>
    <w:rsid w:val="005330FE"/>
    <w:rPr>
      <w:rFonts w:ascii="Arial" w:hAnsi="Arial" w:eastAsia="Times New Roman"/>
      <w:sz w:val="24"/>
      <w:lang w:eastAsia="en-US"/>
    </w:rPr>
  </w:style>
  <w:style w:type="paragraph" w:styleId="BodyTextIndent">
    <w:name w:val="Body Text Indent"/>
    <w:basedOn w:val="Normal"/>
    <w:next w:val="Normal"/>
    <w:link w:val="BodyTextIndentChar"/>
    <w:rsid w:val="005330FE"/>
    <w:pPr>
      <w:autoSpaceDE w:val="0"/>
      <w:autoSpaceDN w:val="0"/>
      <w:adjustRightInd w:val="0"/>
    </w:pPr>
    <w:rPr>
      <w:rFonts w:ascii="Foundry Form Sans" w:hAnsi="Foundry Form Sans" w:cs="Times New Roman"/>
      <w:lang w:val="en-US"/>
    </w:rPr>
  </w:style>
  <w:style w:type="character" w:styleId="BodyTextIndentChar" w:customStyle="1">
    <w:name w:val="Body Text Indent Char"/>
    <w:basedOn w:val="DefaultParagraphFont"/>
    <w:link w:val="BodyTextIndent"/>
    <w:rsid w:val="005330FE"/>
    <w:rPr>
      <w:rFonts w:ascii="Foundry Form Sans" w:hAnsi="Foundry Form Sans" w:eastAsia="Times New Roman"/>
      <w:sz w:val="24"/>
      <w:szCs w:val="24"/>
      <w:lang w:val="en-US" w:eastAsia="en-US"/>
    </w:rPr>
  </w:style>
  <w:style w:type="character" w:styleId="CommentReference">
    <w:name w:val="annotation reference"/>
    <w:rsid w:val="005330FE"/>
    <w:rPr>
      <w:sz w:val="16"/>
      <w:szCs w:val="16"/>
    </w:rPr>
  </w:style>
  <w:style w:type="paragraph" w:styleId="CommentText">
    <w:name w:val="annotation text"/>
    <w:basedOn w:val="Normal"/>
    <w:link w:val="CommentTextChar"/>
    <w:rsid w:val="005330FE"/>
    <w:rPr>
      <w:rFonts w:cs="Times New Roman"/>
      <w:sz w:val="20"/>
      <w:szCs w:val="20"/>
      <w:lang w:val="x-none"/>
    </w:rPr>
  </w:style>
  <w:style w:type="character" w:styleId="CommentTextChar" w:customStyle="1">
    <w:name w:val="Comment Text Char"/>
    <w:basedOn w:val="DefaultParagraphFont"/>
    <w:link w:val="CommentText"/>
    <w:rsid w:val="005330FE"/>
    <w:rPr>
      <w:rFonts w:ascii="Arial" w:hAnsi="Arial" w:eastAsia="Times New Roman"/>
      <w:lang w:val="x-none" w:eastAsia="en-US"/>
    </w:rPr>
  </w:style>
  <w:style w:type="paragraph" w:styleId="CommentSubject">
    <w:name w:val="annotation subject"/>
    <w:basedOn w:val="CommentText"/>
    <w:next w:val="CommentText"/>
    <w:link w:val="CommentSubjectChar"/>
    <w:rsid w:val="005330FE"/>
    <w:rPr>
      <w:b/>
      <w:bCs/>
    </w:rPr>
  </w:style>
  <w:style w:type="character" w:styleId="CommentSubjectChar" w:customStyle="1">
    <w:name w:val="Comment Subject Char"/>
    <w:basedOn w:val="CommentTextChar"/>
    <w:link w:val="CommentSubject"/>
    <w:rsid w:val="005330FE"/>
    <w:rPr>
      <w:rFonts w:ascii="Arial" w:hAnsi="Arial" w:eastAsia="Times New Roman"/>
      <w:b/>
      <w:bCs/>
      <w:lang w:val="x-none" w:eastAsia="en-US"/>
    </w:rPr>
  </w:style>
  <w:style w:type="paragraph" w:styleId="BalloonText">
    <w:name w:val="Balloon Text"/>
    <w:basedOn w:val="Normal"/>
    <w:link w:val="BalloonTextChar"/>
    <w:rsid w:val="005330FE"/>
    <w:rPr>
      <w:rFonts w:ascii="Tahoma" w:hAnsi="Tahoma" w:cs="Times New Roman"/>
      <w:sz w:val="16"/>
      <w:szCs w:val="16"/>
      <w:lang w:val="x-none"/>
    </w:rPr>
  </w:style>
  <w:style w:type="character" w:styleId="BalloonTextChar" w:customStyle="1">
    <w:name w:val="Balloon Text Char"/>
    <w:basedOn w:val="DefaultParagraphFont"/>
    <w:link w:val="BalloonText"/>
    <w:rsid w:val="005330FE"/>
    <w:rPr>
      <w:rFonts w:ascii="Tahoma" w:hAnsi="Tahoma" w:eastAsia="Times New Roman"/>
      <w:sz w:val="16"/>
      <w:szCs w:val="16"/>
      <w:lang w:val="x-none" w:eastAsia="en-US"/>
    </w:rPr>
  </w:style>
  <w:style w:type="paragraph" w:styleId="DfESOutNumbered" w:customStyle="1">
    <w:name w:val="DfESOutNumbered"/>
    <w:basedOn w:val="Normal"/>
    <w:link w:val="DfESOutNumberedChar"/>
    <w:rsid w:val="005330FE"/>
    <w:pPr>
      <w:widowControl w:val="0"/>
      <w:numPr>
        <w:numId w:val="2"/>
      </w:numPr>
      <w:overflowPunct w:val="0"/>
      <w:autoSpaceDE w:val="0"/>
      <w:autoSpaceDN w:val="0"/>
      <w:adjustRightInd w:val="0"/>
      <w:spacing w:after="240"/>
      <w:textAlignment w:val="baseline"/>
    </w:pPr>
    <w:rPr>
      <w:rFonts w:cs="Times New Roman"/>
      <w:sz w:val="22"/>
      <w:szCs w:val="20"/>
      <w:lang w:val="x-none"/>
    </w:rPr>
  </w:style>
  <w:style w:type="character" w:styleId="DfESOutNumberedChar" w:customStyle="1">
    <w:name w:val="DfESOutNumbered Char"/>
    <w:link w:val="DfESOutNumbered"/>
    <w:locked/>
    <w:rsid w:val="005330FE"/>
    <w:rPr>
      <w:rFonts w:ascii="Arial" w:hAnsi="Arial" w:eastAsia="Times New Roman"/>
      <w:sz w:val="22"/>
      <w:lang w:val="x-none" w:eastAsia="en-US"/>
    </w:rPr>
  </w:style>
  <w:style w:type="table" w:styleId="TableGrid">
    <w:name w:val="Table Grid"/>
    <w:basedOn w:val="TableNormal"/>
    <w:rsid w:val="005330FE"/>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330FE"/>
    <w:pPr>
      <w:ind w:left="720"/>
    </w:pPr>
  </w:style>
  <w:style w:type="paragraph" w:styleId="CharCharCharChar2" w:customStyle="1">
    <w:name w:val="Char Char Char Char2"/>
    <w:basedOn w:val="Normal"/>
    <w:locked/>
    <w:rsid w:val="005330FE"/>
    <w:pPr>
      <w:spacing w:after="160" w:line="240" w:lineRule="exact"/>
    </w:pPr>
    <w:rPr>
      <w:rFonts w:ascii="Verdana" w:hAnsi="Verdana" w:eastAsia="MS ??" w:cs="Verdana"/>
      <w:sz w:val="20"/>
      <w:szCs w:val="20"/>
      <w:lang w:val="en-US"/>
    </w:rPr>
  </w:style>
  <w:style w:type="paragraph" w:styleId="PlainText">
    <w:name w:val="Plain Text"/>
    <w:basedOn w:val="Normal"/>
    <w:link w:val="PlainTextChar"/>
    <w:semiHidden/>
    <w:rsid w:val="005330FE"/>
    <w:rPr>
      <w:rFonts w:ascii="Calibri" w:hAnsi="Calibri" w:eastAsia="Calibri" w:cs="Times New Roman"/>
      <w:sz w:val="20"/>
      <w:szCs w:val="21"/>
      <w:lang w:val="x-none" w:eastAsia="x-none"/>
    </w:rPr>
  </w:style>
  <w:style w:type="character" w:styleId="PlainTextChar" w:customStyle="1">
    <w:name w:val="Plain Text Char"/>
    <w:basedOn w:val="DefaultParagraphFont"/>
    <w:link w:val="PlainText"/>
    <w:semiHidden/>
    <w:rsid w:val="005330FE"/>
    <w:rPr>
      <w:szCs w:val="21"/>
      <w:lang w:val="x-none" w:eastAsia="x-none"/>
    </w:rPr>
  </w:style>
  <w:style w:type="paragraph" w:styleId="Default" w:customStyle="1">
    <w:name w:val="Default"/>
    <w:rsid w:val="005330FE"/>
    <w:pPr>
      <w:autoSpaceDE w:val="0"/>
      <w:autoSpaceDN w:val="0"/>
      <w:adjustRightInd w:val="0"/>
    </w:pPr>
    <w:rPr>
      <w:rFonts w:ascii="Foundry Form Sans" w:hAnsi="Foundry Form Sans" w:eastAsia="Times New Roman" w:cs="Foundry Form Sans"/>
      <w:color w:val="000000"/>
      <w:sz w:val="24"/>
      <w:szCs w:val="24"/>
    </w:rPr>
  </w:style>
  <w:style w:type="paragraph" w:styleId="NormalWeb">
    <w:name w:val="Normal (Web)"/>
    <w:basedOn w:val="Normal"/>
    <w:uiPriority w:val="99"/>
    <w:semiHidden/>
    <w:unhideWhenUsed/>
    <w:rsid w:val="00E3033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3285">
      <w:bodyDiv w:val="1"/>
      <w:marLeft w:val="0"/>
      <w:marRight w:val="0"/>
      <w:marTop w:val="0"/>
      <w:marBottom w:val="0"/>
      <w:divBdr>
        <w:top w:val="none" w:sz="0" w:space="0" w:color="auto"/>
        <w:left w:val="none" w:sz="0" w:space="0" w:color="auto"/>
        <w:bottom w:val="none" w:sz="0" w:space="0" w:color="auto"/>
        <w:right w:val="none" w:sz="0" w:space="0" w:color="auto"/>
      </w:divBdr>
    </w:div>
    <w:div w:id="267548567">
      <w:bodyDiv w:val="1"/>
      <w:marLeft w:val="0"/>
      <w:marRight w:val="0"/>
      <w:marTop w:val="0"/>
      <w:marBottom w:val="0"/>
      <w:divBdr>
        <w:top w:val="none" w:sz="0" w:space="0" w:color="auto"/>
        <w:left w:val="none" w:sz="0" w:space="0" w:color="auto"/>
        <w:bottom w:val="none" w:sz="0" w:space="0" w:color="auto"/>
        <w:right w:val="none" w:sz="0" w:space="0" w:color="auto"/>
      </w:divBdr>
    </w:div>
    <w:div w:id="307129836">
      <w:bodyDiv w:val="1"/>
      <w:marLeft w:val="0"/>
      <w:marRight w:val="0"/>
      <w:marTop w:val="0"/>
      <w:marBottom w:val="0"/>
      <w:divBdr>
        <w:top w:val="none" w:sz="0" w:space="0" w:color="auto"/>
        <w:left w:val="none" w:sz="0" w:space="0" w:color="auto"/>
        <w:bottom w:val="none" w:sz="0" w:space="0" w:color="auto"/>
        <w:right w:val="none" w:sz="0" w:space="0" w:color="auto"/>
      </w:divBdr>
    </w:div>
    <w:div w:id="438526349">
      <w:bodyDiv w:val="1"/>
      <w:marLeft w:val="0"/>
      <w:marRight w:val="0"/>
      <w:marTop w:val="0"/>
      <w:marBottom w:val="0"/>
      <w:divBdr>
        <w:top w:val="none" w:sz="0" w:space="0" w:color="auto"/>
        <w:left w:val="none" w:sz="0" w:space="0" w:color="auto"/>
        <w:bottom w:val="none" w:sz="0" w:space="0" w:color="auto"/>
        <w:right w:val="none" w:sz="0" w:space="0" w:color="auto"/>
      </w:divBdr>
    </w:div>
    <w:div w:id="484861395">
      <w:bodyDiv w:val="1"/>
      <w:marLeft w:val="0"/>
      <w:marRight w:val="0"/>
      <w:marTop w:val="0"/>
      <w:marBottom w:val="0"/>
      <w:divBdr>
        <w:top w:val="none" w:sz="0" w:space="0" w:color="auto"/>
        <w:left w:val="none" w:sz="0" w:space="0" w:color="auto"/>
        <w:bottom w:val="none" w:sz="0" w:space="0" w:color="auto"/>
        <w:right w:val="none" w:sz="0" w:space="0" w:color="auto"/>
      </w:divBdr>
    </w:div>
    <w:div w:id="517743482">
      <w:bodyDiv w:val="1"/>
      <w:marLeft w:val="0"/>
      <w:marRight w:val="0"/>
      <w:marTop w:val="0"/>
      <w:marBottom w:val="0"/>
      <w:divBdr>
        <w:top w:val="none" w:sz="0" w:space="0" w:color="auto"/>
        <w:left w:val="none" w:sz="0" w:space="0" w:color="auto"/>
        <w:bottom w:val="none" w:sz="0" w:space="0" w:color="auto"/>
        <w:right w:val="none" w:sz="0" w:space="0" w:color="auto"/>
      </w:divBdr>
    </w:div>
    <w:div w:id="584071135">
      <w:bodyDiv w:val="1"/>
      <w:marLeft w:val="0"/>
      <w:marRight w:val="0"/>
      <w:marTop w:val="0"/>
      <w:marBottom w:val="0"/>
      <w:divBdr>
        <w:top w:val="none" w:sz="0" w:space="0" w:color="auto"/>
        <w:left w:val="none" w:sz="0" w:space="0" w:color="auto"/>
        <w:bottom w:val="none" w:sz="0" w:space="0" w:color="auto"/>
        <w:right w:val="none" w:sz="0" w:space="0" w:color="auto"/>
      </w:divBdr>
    </w:div>
    <w:div w:id="586501293">
      <w:bodyDiv w:val="1"/>
      <w:marLeft w:val="0"/>
      <w:marRight w:val="0"/>
      <w:marTop w:val="0"/>
      <w:marBottom w:val="0"/>
      <w:divBdr>
        <w:top w:val="none" w:sz="0" w:space="0" w:color="auto"/>
        <w:left w:val="none" w:sz="0" w:space="0" w:color="auto"/>
        <w:bottom w:val="none" w:sz="0" w:space="0" w:color="auto"/>
        <w:right w:val="none" w:sz="0" w:space="0" w:color="auto"/>
      </w:divBdr>
    </w:div>
    <w:div w:id="704646912">
      <w:bodyDiv w:val="1"/>
      <w:marLeft w:val="0"/>
      <w:marRight w:val="0"/>
      <w:marTop w:val="0"/>
      <w:marBottom w:val="0"/>
      <w:divBdr>
        <w:top w:val="none" w:sz="0" w:space="0" w:color="auto"/>
        <w:left w:val="none" w:sz="0" w:space="0" w:color="auto"/>
        <w:bottom w:val="none" w:sz="0" w:space="0" w:color="auto"/>
        <w:right w:val="none" w:sz="0" w:space="0" w:color="auto"/>
      </w:divBdr>
    </w:div>
    <w:div w:id="706756360">
      <w:bodyDiv w:val="1"/>
      <w:marLeft w:val="0"/>
      <w:marRight w:val="0"/>
      <w:marTop w:val="0"/>
      <w:marBottom w:val="0"/>
      <w:divBdr>
        <w:top w:val="none" w:sz="0" w:space="0" w:color="auto"/>
        <w:left w:val="none" w:sz="0" w:space="0" w:color="auto"/>
        <w:bottom w:val="none" w:sz="0" w:space="0" w:color="auto"/>
        <w:right w:val="none" w:sz="0" w:space="0" w:color="auto"/>
      </w:divBdr>
    </w:div>
    <w:div w:id="711003521">
      <w:bodyDiv w:val="1"/>
      <w:marLeft w:val="0"/>
      <w:marRight w:val="0"/>
      <w:marTop w:val="0"/>
      <w:marBottom w:val="0"/>
      <w:divBdr>
        <w:top w:val="none" w:sz="0" w:space="0" w:color="auto"/>
        <w:left w:val="none" w:sz="0" w:space="0" w:color="auto"/>
        <w:bottom w:val="none" w:sz="0" w:space="0" w:color="auto"/>
        <w:right w:val="none" w:sz="0" w:space="0" w:color="auto"/>
      </w:divBdr>
    </w:div>
    <w:div w:id="761797788">
      <w:bodyDiv w:val="1"/>
      <w:marLeft w:val="0"/>
      <w:marRight w:val="0"/>
      <w:marTop w:val="0"/>
      <w:marBottom w:val="0"/>
      <w:divBdr>
        <w:top w:val="none" w:sz="0" w:space="0" w:color="auto"/>
        <w:left w:val="none" w:sz="0" w:space="0" w:color="auto"/>
        <w:bottom w:val="none" w:sz="0" w:space="0" w:color="auto"/>
        <w:right w:val="none" w:sz="0" w:space="0" w:color="auto"/>
      </w:divBdr>
    </w:div>
    <w:div w:id="784075931">
      <w:bodyDiv w:val="1"/>
      <w:marLeft w:val="0"/>
      <w:marRight w:val="0"/>
      <w:marTop w:val="0"/>
      <w:marBottom w:val="0"/>
      <w:divBdr>
        <w:top w:val="none" w:sz="0" w:space="0" w:color="auto"/>
        <w:left w:val="none" w:sz="0" w:space="0" w:color="auto"/>
        <w:bottom w:val="none" w:sz="0" w:space="0" w:color="auto"/>
        <w:right w:val="none" w:sz="0" w:space="0" w:color="auto"/>
      </w:divBdr>
    </w:div>
    <w:div w:id="867377474">
      <w:bodyDiv w:val="1"/>
      <w:marLeft w:val="0"/>
      <w:marRight w:val="0"/>
      <w:marTop w:val="0"/>
      <w:marBottom w:val="0"/>
      <w:divBdr>
        <w:top w:val="none" w:sz="0" w:space="0" w:color="auto"/>
        <w:left w:val="none" w:sz="0" w:space="0" w:color="auto"/>
        <w:bottom w:val="none" w:sz="0" w:space="0" w:color="auto"/>
        <w:right w:val="none" w:sz="0" w:space="0" w:color="auto"/>
      </w:divBdr>
    </w:div>
    <w:div w:id="869991628">
      <w:bodyDiv w:val="1"/>
      <w:marLeft w:val="0"/>
      <w:marRight w:val="0"/>
      <w:marTop w:val="0"/>
      <w:marBottom w:val="0"/>
      <w:divBdr>
        <w:top w:val="none" w:sz="0" w:space="0" w:color="auto"/>
        <w:left w:val="none" w:sz="0" w:space="0" w:color="auto"/>
        <w:bottom w:val="none" w:sz="0" w:space="0" w:color="auto"/>
        <w:right w:val="none" w:sz="0" w:space="0" w:color="auto"/>
      </w:divBdr>
    </w:div>
    <w:div w:id="885871420">
      <w:bodyDiv w:val="1"/>
      <w:marLeft w:val="0"/>
      <w:marRight w:val="0"/>
      <w:marTop w:val="0"/>
      <w:marBottom w:val="0"/>
      <w:divBdr>
        <w:top w:val="none" w:sz="0" w:space="0" w:color="auto"/>
        <w:left w:val="none" w:sz="0" w:space="0" w:color="auto"/>
        <w:bottom w:val="none" w:sz="0" w:space="0" w:color="auto"/>
        <w:right w:val="none" w:sz="0" w:space="0" w:color="auto"/>
      </w:divBdr>
    </w:div>
    <w:div w:id="935552927">
      <w:bodyDiv w:val="1"/>
      <w:marLeft w:val="0"/>
      <w:marRight w:val="0"/>
      <w:marTop w:val="0"/>
      <w:marBottom w:val="0"/>
      <w:divBdr>
        <w:top w:val="none" w:sz="0" w:space="0" w:color="auto"/>
        <w:left w:val="none" w:sz="0" w:space="0" w:color="auto"/>
        <w:bottom w:val="none" w:sz="0" w:space="0" w:color="auto"/>
        <w:right w:val="none" w:sz="0" w:space="0" w:color="auto"/>
      </w:divBdr>
    </w:div>
    <w:div w:id="1031760161">
      <w:bodyDiv w:val="1"/>
      <w:marLeft w:val="0"/>
      <w:marRight w:val="0"/>
      <w:marTop w:val="0"/>
      <w:marBottom w:val="0"/>
      <w:divBdr>
        <w:top w:val="none" w:sz="0" w:space="0" w:color="auto"/>
        <w:left w:val="none" w:sz="0" w:space="0" w:color="auto"/>
        <w:bottom w:val="none" w:sz="0" w:space="0" w:color="auto"/>
        <w:right w:val="none" w:sz="0" w:space="0" w:color="auto"/>
      </w:divBdr>
    </w:div>
    <w:div w:id="1056781855">
      <w:bodyDiv w:val="1"/>
      <w:marLeft w:val="0"/>
      <w:marRight w:val="0"/>
      <w:marTop w:val="0"/>
      <w:marBottom w:val="0"/>
      <w:divBdr>
        <w:top w:val="none" w:sz="0" w:space="0" w:color="auto"/>
        <w:left w:val="none" w:sz="0" w:space="0" w:color="auto"/>
        <w:bottom w:val="none" w:sz="0" w:space="0" w:color="auto"/>
        <w:right w:val="none" w:sz="0" w:space="0" w:color="auto"/>
      </w:divBdr>
    </w:div>
    <w:div w:id="1060326738">
      <w:bodyDiv w:val="1"/>
      <w:marLeft w:val="0"/>
      <w:marRight w:val="0"/>
      <w:marTop w:val="0"/>
      <w:marBottom w:val="0"/>
      <w:divBdr>
        <w:top w:val="none" w:sz="0" w:space="0" w:color="auto"/>
        <w:left w:val="none" w:sz="0" w:space="0" w:color="auto"/>
        <w:bottom w:val="none" w:sz="0" w:space="0" w:color="auto"/>
        <w:right w:val="none" w:sz="0" w:space="0" w:color="auto"/>
      </w:divBdr>
    </w:div>
    <w:div w:id="1398675157">
      <w:bodyDiv w:val="1"/>
      <w:marLeft w:val="0"/>
      <w:marRight w:val="0"/>
      <w:marTop w:val="0"/>
      <w:marBottom w:val="0"/>
      <w:divBdr>
        <w:top w:val="none" w:sz="0" w:space="0" w:color="auto"/>
        <w:left w:val="none" w:sz="0" w:space="0" w:color="auto"/>
        <w:bottom w:val="none" w:sz="0" w:space="0" w:color="auto"/>
        <w:right w:val="none" w:sz="0" w:space="0" w:color="auto"/>
      </w:divBdr>
    </w:div>
    <w:div w:id="1435789265">
      <w:bodyDiv w:val="1"/>
      <w:marLeft w:val="0"/>
      <w:marRight w:val="0"/>
      <w:marTop w:val="0"/>
      <w:marBottom w:val="0"/>
      <w:divBdr>
        <w:top w:val="none" w:sz="0" w:space="0" w:color="auto"/>
        <w:left w:val="none" w:sz="0" w:space="0" w:color="auto"/>
        <w:bottom w:val="none" w:sz="0" w:space="0" w:color="auto"/>
        <w:right w:val="none" w:sz="0" w:space="0" w:color="auto"/>
      </w:divBdr>
    </w:div>
    <w:div w:id="1498620040">
      <w:bodyDiv w:val="1"/>
      <w:marLeft w:val="0"/>
      <w:marRight w:val="0"/>
      <w:marTop w:val="0"/>
      <w:marBottom w:val="0"/>
      <w:divBdr>
        <w:top w:val="none" w:sz="0" w:space="0" w:color="auto"/>
        <w:left w:val="none" w:sz="0" w:space="0" w:color="auto"/>
        <w:bottom w:val="none" w:sz="0" w:space="0" w:color="auto"/>
        <w:right w:val="none" w:sz="0" w:space="0" w:color="auto"/>
      </w:divBdr>
    </w:div>
    <w:div w:id="1515218508">
      <w:bodyDiv w:val="1"/>
      <w:marLeft w:val="0"/>
      <w:marRight w:val="0"/>
      <w:marTop w:val="0"/>
      <w:marBottom w:val="0"/>
      <w:divBdr>
        <w:top w:val="none" w:sz="0" w:space="0" w:color="auto"/>
        <w:left w:val="none" w:sz="0" w:space="0" w:color="auto"/>
        <w:bottom w:val="none" w:sz="0" w:space="0" w:color="auto"/>
        <w:right w:val="none" w:sz="0" w:space="0" w:color="auto"/>
      </w:divBdr>
    </w:div>
    <w:div w:id="1598054944">
      <w:bodyDiv w:val="1"/>
      <w:marLeft w:val="0"/>
      <w:marRight w:val="0"/>
      <w:marTop w:val="0"/>
      <w:marBottom w:val="0"/>
      <w:divBdr>
        <w:top w:val="none" w:sz="0" w:space="0" w:color="auto"/>
        <w:left w:val="none" w:sz="0" w:space="0" w:color="auto"/>
        <w:bottom w:val="none" w:sz="0" w:space="0" w:color="auto"/>
        <w:right w:val="none" w:sz="0" w:space="0" w:color="auto"/>
      </w:divBdr>
    </w:div>
    <w:div w:id="1731075183">
      <w:bodyDiv w:val="1"/>
      <w:marLeft w:val="0"/>
      <w:marRight w:val="0"/>
      <w:marTop w:val="0"/>
      <w:marBottom w:val="0"/>
      <w:divBdr>
        <w:top w:val="none" w:sz="0" w:space="0" w:color="auto"/>
        <w:left w:val="none" w:sz="0" w:space="0" w:color="auto"/>
        <w:bottom w:val="none" w:sz="0" w:space="0" w:color="auto"/>
        <w:right w:val="none" w:sz="0" w:space="0" w:color="auto"/>
      </w:divBdr>
    </w:div>
    <w:div w:id="1735732814">
      <w:bodyDiv w:val="1"/>
      <w:marLeft w:val="0"/>
      <w:marRight w:val="0"/>
      <w:marTop w:val="0"/>
      <w:marBottom w:val="0"/>
      <w:divBdr>
        <w:top w:val="none" w:sz="0" w:space="0" w:color="auto"/>
        <w:left w:val="none" w:sz="0" w:space="0" w:color="auto"/>
        <w:bottom w:val="none" w:sz="0" w:space="0" w:color="auto"/>
        <w:right w:val="none" w:sz="0" w:space="0" w:color="auto"/>
      </w:divBdr>
    </w:div>
    <w:div w:id="1773167851">
      <w:bodyDiv w:val="1"/>
      <w:marLeft w:val="0"/>
      <w:marRight w:val="0"/>
      <w:marTop w:val="0"/>
      <w:marBottom w:val="0"/>
      <w:divBdr>
        <w:top w:val="none" w:sz="0" w:space="0" w:color="auto"/>
        <w:left w:val="none" w:sz="0" w:space="0" w:color="auto"/>
        <w:bottom w:val="none" w:sz="0" w:space="0" w:color="auto"/>
        <w:right w:val="none" w:sz="0" w:space="0" w:color="auto"/>
      </w:divBdr>
    </w:div>
    <w:div w:id="1875267033">
      <w:bodyDiv w:val="1"/>
      <w:marLeft w:val="0"/>
      <w:marRight w:val="0"/>
      <w:marTop w:val="0"/>
      <w:marBottom w:val="0"/>
      <w:divBdr>
        <w:top w:val="none" w:sz="0" w:space="0" w:color="auto"/>
        <w:left w:val="none" w:sz="0" w:space="0" w:color="auto"/>
        <w:bottom w:val="none" w:sz="0" w:space="0" w:color="auto"/>
        <w:right w:val="none" w:sz="0" w:space="0" w:color="auto"/>
      </w:divBdr>
    </w:div>
    <w:div w:id="1877623401">
      <w:bodyDiv w:val="1"/>
      <w:marLeft w:val="0"/>
      <w:marRight w:val="0"/>
      <w:marTop w:val="0"/>
      <w:marBottom w:val="0"/>
      <w:divBdr>
        <w:top w:val="none" w:sz="0" w:space="0" w:color="auto"/>
        <w:left w:val="none" w:sz="0" w:space="0" w:color="auto"/>
        <w:bottom w:val="none" w:sz="0" w:space="0" w:color="auto"/>
        <w:right w:val="none" w:sz="0" w:space="0" w:color="auto"/>
      </w:divBdr>
    </w:div>
    <w:div w:id="20906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glossaryDocument" Target="/word/glossary/document.xml" Id="R90cdcee9325541c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c637cf-e1fd-46ac-a4c0-15212cca1539}"/>
      </w:docPartPr>
      <w:docPartBody>
        <w:p w14:paraId="2291DB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4" ma:contentTypeDescription="Create a new document." ma:contentTypeScope="" ma:versionID="d605db9afe6b1d15d2c829546994da0e">
  <xsd:schema xmlns:xsd="http://www.w3.org/2001/XMLSchema" xmlns:xs="http://www.w3.org/2001/XMLSchema" xmlns:p="http://schemas.microsoft.com/office/2006/metadata/properties" xmlns:ns2="0fc10596-915e-4482-802b-42073deb5209" targetNamespace="http://schemas.microsoft.com/office/2006/metadata/properties" ma:root="true" ma:fieldsID="fb9dc83154fa6dc88a820dc265ea03c4" ns2:_="">
    <xsd:import namespace="0fc10596-915e-4482-802b-42073deb5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8C98B-ABA2-493E-99B9-CAB44CCCAE73}">
  <ds:schemaRefs>
    <ds:schemaRef ds:uri="http://schemas.openxmlformats.org/officeDocument/2006/bibliography"/>
  </ds:schemaRefs>
</ds:datastoreItem>
</file>

<file path=customXml/itemProps2.xml><?xml version="1.0" encoding="utf-8"?>
<ds:datastoreItem xmlns:ds="http://schemas.openxmlformats.org/officeDocument/2006/customXml" ds:itemID="{3EB30EBE-8974-4918-B229-BEB931BEE396}">
  <ds:schemaRefs>
    <ds:schemaRef ds:uri="http://schemas.microsoft.com/sharepoint/v3/contenttype/forms"/>
  </ds:schemaRefs>
</ds:datastoreItem>
</file>

<file path=customXml/itemProps3.xml><?xml version="1.0" encoding="utf-8"?>
<ds:datastoreItem xmlns:ds="http://schemas.openxmlformats.org/officeDocument/2006/customXml" ds:itemID="{49C15F21-B4A4-4A64-A81D-587874FD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B586A-564F-4C8F-9522-0E0DF304E32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fc10596-915e-4482-802b-42073deb5209"/>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of Harrow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kbisal</dc:creator>
  <keywords>Demography Report</keywords>
  <lastModifiedBy>Raj Parmar</lastModifiedBy>
  <revision>367</revision>
  <dcterms:created xsi:type="dcterms:W3CDTF">2021-07-22T13:08:00.0000000Z</dcterms:created>
  <dcterms:modified xsi:type="dcterms:W3CDTF">2021-09-13T15:59:08.8161530Z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3;#Demography Report|a3455282-8811-4f8e-ae59-a86878fd1bf4</vt:lpwstr>
  </property>
  <property fmtid="{D5CDD505-2E9C-101B-9397-08002B2CF9AE}" pid="4" name="Protective Marking">
    <vt:lpwstr>OFFICIAL</vt:lpwstr>
  </property>
</Properties>
</file>